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88D4D" w14:textId="77777777" w:rsidR="00937B91" w:rsidRPr="00CD78D1" w:rsidRDefault="00CD78D1" w:rsidP="00CD78D1">
      <w:pPr>
        <w:jc w:val="center"/>
        <w:rPr>
          <w:rFonts w:ascii="Arial" w:hAnsi="Arial" w:cs="Arial"/>
          <w:b/>
          <w:sz w:val="24"/>
          <w:szCs w:val="24"/>
        </w:rPr>
      </w:pPr>
      <w:r w:rsidRPr="00CD78D1">
        <w:rPr>
          <w:rFonts w:ascii="Arial" w:hAnsi="Arial" w:cs="Arial"/>
          <w:b/>
          <w:sz w:val="24"/>
          <w:szCs w:val="24"/>
        </w:rPr>
        <w:t>Tool Summary Sheet</w:t>
      </w:r>
    </w:p>
    <w:tbl>
      <w:tblPr>
        <w:tblW w:w="0" w:type="auto"/>
        <w:tblInd w:w="-72" w:type="dxa"/>
        <w:tblLook w:val="04A0" w:firstRow="1" w:lastRow="0" w:firstColumn="1" w:lastColumn="0" w:noHBand="0" w:noVBand="1"/>
      </w:tblPr>
      <w:tblGrid>
        <w:gridCol w:w="2500"/>
        <w:gridCol w:w="7148"/>
      </w:tblGrid>
      <w:tr w:rsidR="00D36DE2" w:rsidRPr="00143ABB" w14:paraId="2F48991D" w14:textId="77777777" w:rsidTr="000A775C">
        <w:tc>
          <w:tcPr>
            <w:tcW w:w="2500" w:type="dxa"/>
          </w:tcPr>
          <w:p w14:paraId="45C17D57" w14:textId="77777777" w:rsidR="00D36DE2" w:rsidRPr="00143ABB" w:rsidRDefault="00D36DE2" w:rsidP="00D36DE2">
            <w:pPr>
              <w:spacing w:after="120"/>
              <w:jc w:val="right"/>
              <w:rPr>
                <w:rFonts w:ascii="Arial" w:hAnsi="Arial" w:cs="Arial"/>
                <w:b/>
              </w:rPr>
            </w:pPr>
            <w:r w:rsidRPr="00143ABB">
              <w:rPr>
                <w:rFonts w:ascii="Arial" w:hAnsi="Arial" w:cs="Arial"/>
                <w:b/>
              </w:rPr>
              <w:t>Tool:</w:t>
            </w:r>
          </w:p>
        </w:tc>
        <w:tc>
          <w:tcPr>
            <w:tcW w:w="7148" w:type="dxa"/>
          </w:tcPr>
          <w:p w14:paraId="2AF25F8E" w14:textId="77777777" w:rsidR="00D36DE2" w:rsidRPr="00D36DE2" w:rsidRDefault="00D36DE2" w:rsidP="00DB05B9">
            <w:pPr>
              <w:pStyle w:val="Header"/>
              <w:spacing w:after="120"/>
            </w:pPr>
            <w:r w:rsidRPr="00D36DE2">
              <w:rPr>
                <w:rFonts w:ascii="Arial" w:hAnsi="Arial" w:cs="Arial"/>
              </w:rPr>
              <w:t>Guideline</w:t>
            </w:r>
            <w:r w:rsidR="001A4D5E">
              <w:rPr>
                <w:rFonts w:ascii="Arial" w:hAnsi="Arial" w:cs="Arial"/>
              </w:rPr>
              <w:t xml:space="preserve">: Study Start-up through </w:t>
            </w:r>
            <w:r w:rsidRPr="00D36DE2">
              <w:rPr>
                <w:rFonts w:ascii="Arial" w:hAnsi="Arial" w:cs="Arial"/>
              </w:rPr>
              <w:t>S</w:t>
            </w:r>
            <w:r w:rsidR="001A4D5E">
              <w:rPr>
                <w:rFonts w:ascii="Arial" w:hAnsi="Arial" w:cs="Arial"/>
              </w:rPr>
              <w:t>ite Initiation</w:t>
            </w:r>
            <w:r w:rsidR="00CA5675">
              <w:rPr>
                <w:rFonts w:ascii="Arial" w:hAnsi="Arial" w:cs="Arial"/>
              </w:rPr>
              <w:t xml:space="preserve"> Visit</w:t>
            </w:r>
            <w:r w:rsidR="001A4D5E">
              <w:rPr>
                <w:rFonts w:ascii="Arial" w:hAnsi="Arial" w:cs="Arial"/>
              </w:rPr>
              <w:t xml:space="preserve"> and </w:t>
            </w:r>
            <w:r w:rsidR="00CA5675">
              <w:rPr>
                <w:rFonts w:ascii="Arial" w:hAnsi="Arial" w:cs="Arial"/>
              </w:rPr>
              <w:t xml:space="preserve">Site </w:t>
            </w:r>
            <w:r w:rsidR="001A4D5E">
              <w:rPr>
                <w:rFonts w:ascii="Arial" w:hAnsi="Arial" w:cs="Arial"/>
              </w:rPr>
              <w:t xml:space="preserve">Activation for </w:t>
            </w:r>
            <w:r w:rsidRPr="00D36DE2">
              <w:rPr>
                <w:rFonts w:ascii="Arial" w:hAnsi="Arial" w:cs="Arial"/>
              </w:rPr>
              <w:t>Extramural</w:t>
            </w:r>
            <w:r w:rsidR="00987F18">
              <w:rPr>
                <w:rFonts w:ascii="Arial" w:hAnsi="Arial" w:cs="Arial"/>
              </w:rPr>
              <w:t xml:space="preserve"> </w:t>
            </w:r>
            <w:r w:rsidR="00C106D3">
              <w:rPr>
                <w:rFonts w:ascii="Arial" w:hAnsi="Arial" w:cs="Arial"/>
              </w:rPr>
              <w:t>Studies Requiring Additional NIDCR Oversight</w:t>
            </w:r>
          </w:p>
        </w:tc>
      </w:tr>
      <w:tr w:rsidR="00D36DE2" w:rsidRPr="00143ABB" w14:paraId="32E14B1D" w14:textId="77777777" w:rsidTr="000A775C">
        <w:tc>
          <w:tcPr>
            <w:tcW w:w="2500" w:type="dxa"/>
          </w:tcPr>
          <w:p w14:paraId="0F26AECD" w14:textId="77777777" w:rsidR="00D36DE2" w:rsidRPr="00143ABB" w:rsidRDefault="00D36DE2" w:rsidP="00D36DE2">
            <w:pPr>
              <w:spacing w:after="120"/>
              <w:jc w:val="right"/>
              <w:rPr>
                <w:rFonts w:ascii="Arial" w:hAnsi="Arial" w:cs="Arial"/>
                <w:b/>
              </w:rPr>
            </w:pPr>
            <w:r w:rsidRPr="00143ABB">
              <w:rPr>
                <w:rFonts w:ascii="Arial" w:hAnsi="Arial" w:cs="Arial"/>
                <w:b/>
              </w:rPr>
              <w:t>Purpose:</w:t>
            </w:r>
          </w:p>
        </w:tc>
        <w:tc>
          <w:tcPr>
            <w:tcW w:w="7148" w:type="dxa"/>
          </w:tcPr>
          <w:p w14:paraId="5A0CA9F7" w14:textId="77777777" w:rsidR="00D36DE2" w:rsidRPr="003B49B7" w:rsidRDefault="00D36DE2" w:rsidP="00FC6941">
            <w:pPr>
              <w:spacing w:after="120"/>
              <w:rPr>
                <w:rFonts w:ascii="Arial" w:hAnsi="Arial" w:cs="Arial"/>
              </w:rPr>
            </w:pPr>
            <w:r>
              <w:rPr>
                <w:rFonts w:ascii="Arial" w:hAnsi="Arial" w:cs="Arial"/>
              </w:rPr>
              <w:t xml:space="preserve">To </w:t>
            </w:r>
            <w:r w:rsidR="0000144A">
              <w:rPr>
                <w:rFonts w:ascii="Arial" w:hAnsi="Arial" w:cs="Arial"/>
              </w:rPr>
              <w:t xml:space="preserve">clarify </w:t>
            </w:r>
            <w:r w:rsidR="007450F6">
              <w:rPr>
                <w:rFonts w:ascii="Arial" w:hAnsi="Arial" w:cs="Arial"/>
              </w:rPr>
              <w:t xml:space="preserve">the </w:t>
            </w:r>
            <w:r w:rsidR="0000144A">
              <w:rPr>
                <w:rFonts w:ascii="Arial" w:hAnsi="Arial" w:cs="Arial"/>
              </w:rPr>
              <w:t xml:space="preserve">Extramural </w:t>
            </w:r>
            <w:r w:rsidR="007450F6">
              <w:rPr>
                <w:rFonts w:ascii="Arial" w:hAnsi="Arial" w:cs="Arial"/>
              </w:rPr>
              <w:t>study start</w:t>
            </w:r>
            <w:r w:rsidR="001539F7">
              <w:rPr>
                <w:rFonts w:ascii="Arial" w:hAnsi="Arial" w:cs="Arial"/>
              </w:rPr>
              <w:t>-</w:t>
            </w:r>
            <w:r w:rsidR="007450F6">
              <w:rPr>
                <w:rFonts w:ascii="Arial" w:hAnsi="Arial" w:cs="Arial"/>
              </w:rPr>
              <w:t xml:space="preserve">up process </w:t>
            </w:r>
            <w:r w:rsidR="0000144A">
              <w:rPr>
                <w:rFonts w:ascii="Arial" w:hAnsi="Arial" w:cs="Arial"/>
              </w:rPr>
              <w:t xml:space="preserve">from </w:t>
            </w:r>
            <w:r w:rsidR="004B7288">
              <w:rPr>
                <w:rFonts w:ascii="Arial" w:hAnsi="Arial" w:cs="Arial"/>
              </w:rPr>
              <w:t>protocol development</w:t>
            </w:r>
            <w:r w:rsidR="001A4D5E">
              <w:rPr>
                <w:rFonts w:ascii="Arial" w:hAnsi="Arial" w:cs="Arial"/>
              </w:rPr>
              <w:t xml:space="preserve"> through </w:t>
            </w:r>
            <w:r w:rsidR="0000144A">
              <w:rPr>
                <w:rFonts w:ascii="Arial" w:hAnsi="Arial" w:cs="Arial"/>
              </w:rPr>
              <w:t xml:space="preserve">site initiation and activation. </w:t>
            </w:r>
            <w:r w:rsidR="00987F18">
              <w:rPr>
                <w:rFonts w:ascii="Arial" w:hAnsi="Arial" w:cs="Arial"/>
              </w:rPr>
              <w:t xml:space="preserve">Explicitly included are </w:t>
            </w:r>
            <w:r w:rsidR="00FC6941">
              <w:rPr>
                <w:rFonts w:ascii="Arial" w:hAnsi="Arial" w:cs="Arial"/>
              </w:rPr>
              <w:t>studies requiring additional NIDCR oversight.</w:t>
            </w:r>
            <w:r w:rsidR="00987F18">
              <w:rPr>
                <w:rFonts w:ascii="Arial" w:hAnsi="Arial" w:cs="Arial"/>
              </w:rPr>
              <w:t xml:space="preserve"> </w:t>
            </w:r>
            <w:r>
              <w:rPr>
                <w:rFonts w:ascii="Arial" w:hAnsi="Arial" w:cs="Arial"/>
              </w:rPr>
              <w:t xml:space="preserve"> </w:t>
            </w:r>
          </w:p>
        </w:tc>
      </w:tr>
      <w:tr w:rsidR="00D36DE2" w:rsidRPr="00143ABB" w14:paraId="7EE74F90" w14:textId="77777777" w:rsidTr="000A775C">
        <w:tc>
          <w:tcPr>
            <w:tcW w:w="2500" w:type="dxa"/>
          </w:tcPr>
          <w:p w14:paraId="080B5DF9" w14:textId="77777777" w:rsidR="00D36DE2" w:rsidRPr="00143ABB" w:rsidRDefault="00D36DE2" w:rsidP="00D36DE2">
            <w:pPr>
              <w:spacing w:after="120"/>
              <w:jc w:val="right"/>
              <w:rPr>
                <w:rFonts w:ascii="Arial" w:hAnsi="Arial" w:cs="Arial"/>
                <w:b/>
              </w:rPr>
            </w:pPr>
            <w:r w:rsidRPr="00143ABB">
              <w:rPr>
                <w:rFonts w:ascii="Arial" w:hAnsi="Arial" w:cs="Arial"/>
                <w:b/>
              </w:rPr>
              <w:t>Audience/User:</w:t>
            </w:r>
          </w:p>
        </w:tc>
        <w:tc>
          <w:tcPr>
            <w:tcW w:w="7148" w:type="dxa"/>
          </w:tcPr>
          <w:p w14:paraId="3720C30B" w14:textId="77777777" w:rsidR="00D36DE2" w:rsidRPr="003B49B7" w:rsidRDefault="00D36DE2" w:rsidP="00E66D54">
            <w:pPr>
              <w:spacing w:after="120"/>
              <w:rPr>
                <w:rFonts w:ascii="Arial" w:hAnsi="Arial" w:cs="Arial"/>
              </w:rPr>
            </w:pPr>
            <w:r w:rsidRPr="003B49B7">
              <w:rPr>
                <w:rFonts w:ascii="Arial" w:hAnsi="Arial" w:cs="Arial"/>
              </w:rPr>
              <w:t>Lead Investigators</w:t>
            </w:r>
            <w:r>
              <w:rPr>
                <w:rFonts w:ascii="Arial" w:hAnsi="Arial" w:cs="Arial"/>
              </w:rPr>
              <w:t xml:space="preserve"> and study team members</w:t>
            </w:r>
            <w:r w:rsidR="0000144A">
              <w:rPr>
                <w:rFonts w:ascii="Arial" w:hAnsi="Arial" w:cs="Arial"/>
              </w:rPr>
              <w:t xml:space="preserve"> </w:t>
            </w:r>
            <w:r w:rsidR="00E66D54">
              <w:rPr>
                <w:rFonts w:ascii="Arial" w:hAnsi="Arial" w:cs="Arial"/>
              </w:rPr>
              <w:t>of</w:t>
            </w:r>
            <w:r w:rsidR="0000144A">
              <w:rPr>
                <w:rFonts w:ascii="Arial" w:hAnsi="Arial" w:cs="Arial"/>
              </w:rPr>
              <w:t xml:space="preserve"> Extramural s</w:t>
            </w:r>
            <w:r w:rsidR="007450F6">
              <w:rPr>
                <w:rFonts w:ascii="Arial" w:hAnsi="Arial" w:cs="Arial"/>
              </w:rPr>
              <w:t>tudies supported by the NIDCR</w:t>
            </w:r>
            <w:r w:rsidRPr="003B49B7">
              <w:rPr>
                <w:rFonts w:ascii="Arial" w:hAnsi="Arial" w:cs="Arial"/>
              </w:rPr>
              <w:t xml:space="preserve">, </w:t>
            </w:r>
            <w:r w:rsidR="007450F6">
              <w:rPr>
                <w:rFonts w:ascii="Arial" w:hAnsi="Arial" w:cs="Arial"/>
              </w:rPr>
              <w:t>the Clinical Research Ope</w:t>
            </w:r>
            <w:r w:rsidR="00F26A2B">
              <w:rPr>
                <w:rFonts w:ascii="Arial" w:hAnsi="Arial" w:cs="Arial"/>
              </w:rPr>
              <w:t>rations and Management Support t</w:t>
            </w:r>
            <w:r w:rsidR="007450F6">
              <w:rPr>
                <w:rFonts w:ascii="Arial" w:hAnsi="Arial" w:cs="Arial"/>
              </w:rPr>
              <w:t>eam (CROMS), and Program Officials of the NIDCR</w:t>
            </w:r>
          </w:p>
        </w:tc>
      </w:tr>
      <w:tr w:rsidR="00D36DE2" w:rsidRPr="00143ABB" w14:paraId="670399FB" w14:textId="77777777" w:rsidTr="000A775C">
        <w:tc>
          <w:tcPr>
            <w:tcW w:w="2500" w:type="dxa"/>
          </w:tcPr>
          <w:p w14:paraId="0AE44DF6" w14:textId="77777777" w:rsidR="00D36DE2" w:rsidRPr="00143ABB" w:rsidRDefault="00D36DE2" w:rsidP="00D36DE2">
            <w:pPr>
              <w:spacing w:after="120"/>
              <w:jc w:val="right"/>
              <w:rPr>
                <w:rFonts w:ascii="Arial" w:hAnsi="Arial" w:cs="Arial"/>
                <w:b/>
              </w:rPr>
            </w:pPr>
            <w:r w:rsidRPr="00143ABB">
              <w:rPr>
                <w:rFonts w:ascii="Arial" w:hAnsi="Arial" w:cs="Arial"/>
                <w:b/>
              </w:rPr>
              <w:t>Details:</w:t>
            </w:r>
          </w:p>
        </w:tc>
        <w:tc>
          <w:tcPr>
            <w:tcW w:w="7148" w:type="dxa"/>
          </w:tcPr>
          <w:p w14:paraId="738F9993" w14:textId="77777777" w:rsidR="00D36DE2" w:rsidRPr="003B49B7" w:rsidRDefault="00D36DE2" w:rsidP="00891192">
            <w:pPr>
              <w:spacing w:after="120"/>
              <w:rPr>
                <w:rFonts w:ascii="Arial" w:hAnsi="Arial" w:cs="Arial"/>
              </w:rPr>
            </w:pPr>
            <w:r w:rsidRPr="003B49B7">
              <w:rPr>
                <w:rFonts w:ascii="Arial" w:hAnsi="Arial" w:cs="Arial"/>
              </w:rPr>
              <w:t xml:space="preserve">This document identifies </w:t>
            </w:r>
            <w:r w:rsidR="002F0F82">
              <w:rPr>
                <w:rFonts w:ascii="Arial" w:hAnsi="Arial" w:cs="Arial"/>
              </w:rPr>
              <w:t>prerequisites for a) the scheduling of a site initiation visit and b) site activation</w:t>
            </w:r>
            <w:r w:rsidR="00A558EC">
              <w:rPr>
                <w:rFonts w:ascii="Arial" w:hAnsi="Arial" w:cs="Arial"/>
              </w:rPr>
              <w:t xml:space="preserve"> (i.e., </w:t>
            </w:r>
            <w:r w:rsidR="002F0F82">
              <w:rPr>
                <w:rFonts w:ascii="Arial" w:hAnsi="Arial" w:cs="Arial"/>
              </w:rPr>
              <w:t>the authorization to begin subject recruitment</w:t>
            </w:r>
            <w:r w:rsidR="002D3992">
              <w:rPr>
                <w:rFonts w:ascii="Arial" w:hAnsi="Arial" w:cs="Arial"/>
              </w:rPr>
              <w:t>)</w:t>
            </w:r>
            <w:r w:rsidR="002F0F82">
              <w:rPr>
                <w:rFonts w:ascii="Arial" w:hAnsi="Arial" w:cs="Arial"/>
              </w:rPr>
              <w:t>.</w:t>
            </w:r>
            <w:r w:rsidR="00A558EC">
              <w:rPr>
                <w:rFonts w:ascii="Arial" w:hAnsi="Arial" w:cs="Arial"/>
              </w:rPr>
              <w:t xml:space="preserve"> </w:t>
            </w:r>
            <w:r w:rsidR="002F0F82">
              <w:rPr>
                <w:rFonts w:ascii="Arial" w:hAnsi="Arial" w:cs="Arial"/>
              </w:rPr>
              <w:t xml:space="preserve"> Also discussed are other study start</w:t>
            </w:r>
            <w:r w:rsidR="002D3992">
              <w:rPr>
                <w:rFonts w:ascii="Arial" w:hAnsi="Arial" w:cs="Arial"/>
              </w:rPr>
              <w:t>-</w:t>
            </w:r>
            <w:r w:rsidR="002F0F82">
              <w:rPr>
                <w:rFonts w:ascii="Arial" w:hAnsi="Arial" w:cs="Arial"/>
              </w:rPr>
              <w:t>up recommendations</w:t>
            </w:r>
            <w:r w:rsidR="00891192">
              <w:rPr>
                <w:rFonts w:ascii="Arial" w:hAnsi="Arial" w:cs="Arial"/>
              </w:rPr>
              <w:t>.  U</w:t>
            </w:r>
            <w:r w:rsidR="00A558EC">
              <w:rPr>
                <w:rFonts w:ascii="Arial" w:hAnsi="Arial" w:cs="Arial"/>
              </w:rPr>
              <w:t>seful tools are referenced.</w:t>
            </w:r>
            <w:r w:rsidR="002F0F82">
              <w:rPr>
                <w:rFonts w:ascii="Arial" w:hAnsi="Arial" w:cs="Arial"/>
              </w:rPr>
              <w:t xml:space="preserve">  </w:t>
            </w:r>
          </w:p>
        </w:tc>
      </w:tr>
      <w:tr w:rsidR="00D36DE2" w:rsidRPr="00143ABB" w14:paraId="371BFDFA" w14:textId="77777777" w:rsidTr="000A775C">
        <w:tc>
          <w:tcPr>
            <w:tcW w:w="2500" w:type="dxa"/>
          </w:tcPr>
          <w:p w14:paraId="10371C83" w14:textId="77777777" w:rsidR="00D36DE2" w:rsidRPr="00143ABB" w:rsidRDefault="00D36DE2" w:rsidP="00D36DE2">
            <w:pPr>
              <w:spacing w:after="120"/>
              <w:jc w:val="right"/>
              <w:rPr>
                <w:rFonts w:ascii="Arial" w:hAnsi="Arial" w:cs="Arial"/>
                <w:b/>
              </w:rPr>
            </w:pPr>
            <w:r w:rsidRPr="00143ABB">
              <w:rPr>
                <w:rFonts w:ascii="Arial" w:hAnsi="Arial" w:cs="Arial"/>
                <w:b/>
              </w:rPr>
              <w:t>Best Practice Recommendations:</w:t>
            </w:r>
          </w:p>
        </w:tc>
        <w:tc>
          <w:tcPr>
            <w:tcW w:w="7148" w:type="dxa"/>
          </w:tcPr>
          <w:p w14:paraId="2D4D7767" w14:textId="77777777" w:rsidR="00127903" w:rsidRDefault="00D36DE2" w:rsidP="00D36DE2">
            <w:pPr>
              <w:numPr>
                <w:ilvl w:val="0"/>
                <w:numId w:val="2"/>
              </w:numPr>
              <w:spacing w:after="120" w:line="240" w:lineRule="auto"/>
              <w:rPr>
                <w:rFonts w:ascii="Arial" w:hAnsi="Arial" w:cs="Arial"/>
              </w:rPr>
            </w:pPr>
            <w:r w:rsidRPr="00E66D54">
              <w:rPr>
                <w:rFonts w:ascii="Arial" w:hAnsi="Arial" w:cs="Arial"/>
              </w:rPr>
              <w:t xml:space="preserve">This </w:t>
            </w:r>
            <w:r w:rsidR="00B54877">
              <w:rPr>
                <w:rFonts w:ascii="Arial" w:hAnsi="Arial" w:cs="Arial"/>
              </w:rPr>
              <w:t>guidance</w:t>
            </w:r>
            <w:r w:rsidRPr="00E66D54">
              <w:rPr>
                <w:rFonts w:ascii="Arial" w:hAnsi="Arial" w:cs="Arial"/>
              </w:rPr>
              <w:t xml:space="preserve"> should be reviewed </w:t>
            </w:r>
            <w:r w:rsidR="004B7288">
              <w:rPr>
                <w:rFonts w:ascii="Arial" w:hAnsi="Arial" w:cs="Arial"/>
              </w:rPr>
              <w:t>early in the protocol development process</w:t>
            </w:r>
            <w:r w:rsidR="00E66D54">
              <w:rPr>
                <w:rFonts w:ascii="Arial" w:hAnsi="Arial" w:cs="Arial"/>
              </w:rPr>
              <w:t>.</w:t>
            </w:r>
            <w:r w:rsidR="00B54877">
              <w:rPr>
                <w:rFonts w:ascii="Arial" w:hAnsi="Arial" w:cs="Arial"/>
              </w:rPr>
              <w:t xml:space="preserve">  </w:t>
            </w:r>
          </w:p>
          <w:p w14:paraId="0FEA6B89" w14:textId="77777777" w:rsidR="00D36DE2" w:rsidRPr="003B49B7" w:rsidRDefault="00127903" w:rsidP="00D36DE2">
            <w:pPr>
              <w:numPr>
                <w:ilvl w:val="0"/>
                <w:numId w:val="2"/>
              </w:numPr>
              <w:spacing w:after="120" w:line="240" w:lineRule="auto"/>
              <w:rPr>
                <w:rFonts w:ascii="Arial" w:hAnsi="Arial" w:cs="Arial"/>
              </w:rPr>
            </w:pPr>
            <w:r>
              <w:rPr>
                <w:rFonts w:ascii="Arial" w:hAnsi="Arial" w:cs="Arial"/>
              </w:rPr>
              <w:t>T</w:t>
            </w:r>
            <w:r w:rsidR="004272EA" w:rsidRPr="00E66D54">
              <w:rPr>
                <w:rFonts w:ascii="Arial" w:hAnsi="Arial" w:cs="Arial"/>
              </w:rPr>
              <w:t xml:space="preserve">ools referenced in the guidance document should be reviewed </w:t>
            </w:r>
            <w:r w:rsidR="00BC0661" w:rsidRPr="00E66D54">
              <w:rPr>
                <w:rFonts w:ascii="Arial" w:hAnsi="Arial" w:cs="Arial"/>
              </w:rPr>
              <w:t>early in the start</w:t>
            </w:r>
            <w:r w:rsidR="002D3992">
              <w:rPr>
                <w:rFonts w:ascii="Arial" w:hAnsi="Arial" w:cs="Arial"/>
              </w:rPr>
              <w:t>-</w:t>
            </w:r>
            <w:r w:rsidR="00BC0661" w:rsidRPr="00E66D54">
              <w:rPr>
                <w:rFonts w:ascii="Arial" w:hAnsi="Arial" w:cs="Arial"/>
              </w:rPr>
              <w:t>up process</w:t>
            </w:r>
            <w:r w:rsidR="004272EA" w:rsidRPr="00E66D54">
              <w:rPr>
                <w:rFonts w:ascii="Arial" w:hAnsi="Arial" w:cs="Arial"/>
              </w:rPr>
              <w:t xml:space="preserve"> to determine </w:t>
            </w:r>
            <w:r w:rsidR="00E66D54" w:rsidRPr="00E66D54">
              <w:rPr>
                <w:rFonts w:ascii="Arial" w:hAnsi="Arial" w:cs="Arial"/>
              </w:rPr>
              <w:t xml:space="preserve">those </w:t>
            </w:r>
            <w:r w:rsidR="004272EA" w:rsidRPr="00E66D54">
              <w:rPr>
                <w:rFonts w:ascii="Arial" w:hAnsi="Arial" w:cs="Arial"/>
              </w:rPr>
              <w:t xml:space="preserve">which </w:t>
            </w:r>
            <w:r w:rsidR="00E66D54" w:rsidRPr="00E66D54">
              <w:rPr>
                <w:rFonts w:ascii="Arial" w:hAnsi="Arial" w:cs="Arial"/>
              </w:rPr>
              <w:t xml:space="preserve">are </w:t>
            </w:r>
            <w:r w:rsidR="004272EA" w:rsidRPr="00E66D54">
              <w:rPr>
                <w:rFonts w:ascii="Arial" w:hAnsi="Arial" w:cs="Arial"/>
              </w:rPr>
              <w:t xml:space="preserve">most </w:t>
            </w:r>
            <w:r w:rsidR="00BC0661" w:rsidRPr="00E66D54">
              <w:rPr>
                <w:rFonts w:ascii="Arial" w:hAnsi="Arial" w:cs="Arial"/>
              </w:rPr>
              <w:t xml:space="preserve">useful and </w:t>
            </w:r>
            <w:r w:rsidR="004272EA" w:rsidRPr="00E66D54">
              <w:rPr>
                <w:rFonts w:ascii="Arial" w:hAnsi="Arial" w:cs="Arial"/>
              </w:rPr>
              <w:t>appropriate</w:t>
            </w:r>
            <w:r w:rsidR="00BC0661" w:rsidRPr="00E66D54">
              <w:rPr>
                <w:rFonts w:ascii="Arial" w:hAnsi="Arial" w:cs="Arial"/>
              </w:rPr>
              <w:t>.</w:t>
            </w:r>
            <w:r w:rsidR="00CD78D1">
              <w:rPr>
                <w:rFonts w:ascii="Arial" w:hAnsi="Arial" w:cs="Arial"/>
              </w:rPr>
              <w:t xml:space="preserve">  Most tools are accompanied by a summary sheet that details the purpose of the tool, the audience for the tool, and best practices associated with the too</w:t>
            </w:r>
            <w:r w:rsidR="00F26A2B">
              <w:rPr>
                <w:rFonts w:ascii="Arial" w:hAnsi="Arial" w:cs="Arial"/>
              </w:rPr>
              <w:t>l</w:t>
            </w:r>
            <w:r w:rsidR="00CD78D1">
              <w:rPr>
                <w:rFonts w:ascii="Arial" w:hAnsi="Arial" w:cs="Arial"/>
              </w:rPr>
              <w:t xml:space="preserve">. </w:t>
            </w:r>
          </w:p>
          <w:p w14:paraId="2F2C1454" w14:textId="77777777" w:rsidR="009960F8" w:rsidRDefault="009960F8" w:rsidP="00BC0661">
            <w:pPr>
              <w:numPr>
                <w:ilvl w:val="0"/>
                <w:numId w:val="2"/>
              </w:numPr>
              <w:spacing w:after="120" w:line="240" w:lineRule="auto"/>
              <w:rPr>
                <w:rFonts w:ascii="Arial" w:hAnsi="Arial" w:cs="Arial"/>
              </w:rPr>
            </w:pPr>
            <w:r>
              <w:rPr>
                <w:rFonts w:ascii="Arial" w:hAnsi="Arial" w:cs="Arial"/>
              </w:rPr>
              <w:t xml:space="preserve">Referenced tools </w:t>
            </w:r>
            <w:r w:rsidR="00DC48CE">
              <w:rPr>
                <w:rFonts w:ascii="Arial" w:hAnsi="Arial" w:cs="Arial"/>
              </w:rPr>
              <w:t xml:space="preserve">are </w:t>
            </w:r>
            <w:r w:rsidR="00214012">
              <w:rPr>
                <w:rFonts w:ascii="Arial" w:hAnsi="Arial" w:cs="Arial"/>
              </w:rPr>
              <w:t>bolded, for convenience,</w:t>
            </w:r>
            <w:r w:rsidR="00DC48CE">
              <w:rPr>
                <w:rFonts w:ascii="Arial" w:hAnsi="Arial" w:cs="Arial"/>
              </w:rPr>
              <w:t xml:space="preserve"> and </w:t>
            </w:r>
            <w:r>
              <w:rPr>
                <w:rFonts w:ascii="Arial" w:hAnsi="Arial" w:cs="Arial"/>
              </w:rPr>
              <w:t>can be found on the CROMS website in the Clinical Tool</w:t>
            </w:r>
            <w:r w:rsidR="004669AC">
              <w:rPr>
                <w:rFonts w:ascii="Arial" w:hAnsi="Arial" w:cs="Arial"/>
              </w:rPr>
              <w:t xml:space="preserve"> B</w:t>
            </w:r>
            <w:r>
              <w:rPr>
                <w:rFonts w:ascii="Arial" w:hAnsi="Arial" w:cs="Arial"/>
              </w:rPr>
              <w:t xml:space="preserve">ox </w:t>
            </w:r>
            <w:r w:rsidR="009D5B7F">
              <w:rPr>
                <w:rFonts w:ascii="Arial" w:hAnsi="Arial" w:cs="Arial"/>
              </w:rPr>
              <w:t>s</w:t>
            </w:r>
            <w:r>
              <w:rPr>
                <w:rFonts w:ascii="Arial" w:hAnsi="Arial" w:cs="Arial"/>
              </w:rPr>
              <w:t>ection</w:t>
            </w:r>
            <w:r w:rsidR="00DC48CE">
              <w:rPr>
                <w:rFonts w:ascii="Arial" w:hAnsi="Arial" w:cs="Arial"/>
              </w:rPr>
              <w:t>.  M</w:t>
            </w:r>
            <w:r>
              <w:rPr>
                <w:rFonts w:ascii="Arial" w:hAnsi="Arial" w:cs="Arial"/>
              </w:rPr>
              <w:t>any are also located on the NIDCR</w:t>
            </w:r>
            <w:r w:rsidR="008948D8">
              <w:rPr>
                <w:rFonts w:ascii="Arial" w:hAnsi="Arial" w:cs="Arial"/>
              </w:rPr>
              <w:t>’</w:t>
            </w:r>
            <w:r w:rsidR="00A77287">
              <w:rPr>
                <w:rFonts w:ascii="Arial" w:hAnsi="Arial" w:cs="Arial"/>
              </w:rPr>
              <w:t>s</w:t>
            </w:r>
            <w:r>
              <w:rPr>
                <w:rFonts w:ascii="Arial" w:hAnsi="Arial" w:cs="Arial"/>
              </w:rPr>
              <w:t xml:space="preserve"> Tool</w:t>
            </w:r>
            <w:r w:rsidR="002D3992">
              <w:rPr>
                <w:rFonts w:ascii="Arial" w:hAnsi="Arial" w:cs="Arial"/>
              </w:rPr>
              <w:t>kit</w:t>
            </w:r>
            <w:r w:rsidR="00A77287">
              <w:rPr>
                <w:rFonts w:ascii="Arial" w:hAnsi="Arial" w:cs="Arial"/>
              </w:rPr>
              <w:t xml:space="preserve"> for Clinical Researchers</w:t>
            </w:r>
            <w:r w:rsidR="0081017A">
              <w:rPr>
                <w:rFonts w:ascii="Arial" w:hAnsi="Arial" w:cs="Arial"/>
              </w:rPr>
              <w:t xml:space="preserve"> website</w:t>
            </w:r>
            <w:r>
              <w:rPr>
                <w:rFonts w:ascii="Arial" w:hAnsi="Arial" w:cs="Arial"/>
              </w:rPr>
              <w:t>.</w:t>
            </w:r>
          </w:p>
          <w:p w14:paraId="49149EC6" w14:textId="77777777" w:rsidR="001E1FBF" w:rsidRPr="001E1FBF" w:rsidRDefault="001E1FBF" w:rsidP="001E1FBF">
            <w:pPr>
              <w:numPr>
                <w:ilvl w:val="0"/>
                <w:numId w:val="2"/>
              </w:numPr>
              <w:spacing w:after="120" w:line="240" w:lineRule="auto"/>
              <w:rPr>
                <w:rFonts w:ascii="Arial" w:hAnsi="Arial" w:cs="Arial"/>
              </w:rPr>
            </w:pPr>
            <w:r w:rsidRPr="003B49B7">
              <w:rPr>
                <w:rFonts w:ascii="Arial" w:hAnsi="Arial" w:cs="Arial"/>
              </w:rPr>
              <w:t xml:space="preserve">Clinical research tasks must be conducted </w:t>
            </w:r>
            <w:r>
              <w:rPr>
                <w:rFonts w:ascii="Arial" w:hAnsi="Arial" w:cs="Arial"/>
              </w:rPr>
              <w:t xml:space="preserve">in accordance with </w:t>
            </w:r>
            <w:r w:rsidRPr="003B49B7">
              <w:rPr>
                <w:rFonts w:ascii="Arial" w:hAnsi="Arial" w:cs="Arial"/>
              </w:rPr>
              <w:t>Good Clinical Practice (GCP)</w:t>
            </w:r>
            <w:r w:rsidR="00AD016D">
              <w:rPr>
                <w:rFonts w:ascii="Arial" w:hAnsi="Arial" w:cs="Arial"/>
              </w:rPr>
              <w:t xml:space="preserve"> in order to ensure human subject safety and data integrity</w:t>
            </w:r>
            <w:r w:rsidRPr="003B49B7">
              <w:rPr>
                <w:rFonts w:ascii="Arial" w:hAnsi="Arial" w:cs="Arial"/>
              </w:rPr>
              <w:t>.</w:t>
            </w:r>
          </w:p>
        </w:tc>
      </w:tr>
    </w:tbl>
    <w:p w14:paraId="47EB36D0" w14:textId="77777777" w:rsidR="00D82E18" w:rsidRDefault="00D82E18" w:rsidP="00D82E18">
      <w:pPr>
        <w:spacing w:after="0"/>
        <w:rPr>
          <w:rFonts w:ascii="Arial" w:hAnsi="Arial" w:cs="Arial"/>
          <w:b/>
          <w:u w:val="single"/>
        </w:rPr>
      </w:pPr>
    </w:p>
    <w:p w14:paraId="25A29EFC" w14:textId="77777777" w:rsidR="000A775C" w:rsidRPr="00CD78D1" w:rsidRDefault="000A775C" w:rsidP="000A775C">
      <w:pPr>
        <w:rPr>
          <w:rFonts w:ascii="Arial" w:hAnsi="Arial" w:cs="Arial"/>
          <w:b/>
          <w:u w:val="single"/>
        </w:rPr>
      </w:pPr>
      <w:r w:rsidRPr="00CD78D1">
        <w:rPr>
          <w:rFonts w:ascii="Arial" w:hAnsi="Arial" w:cs="Arial"/>
          <w:b/>
          <w:u w:val="single"/>
        </w:rPr>
        <w:t>Tool Revision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890"/>
        <w:gridCol w:w="6048"/>
      </w:tblGrid>
      <w:tr w:rsidR="000A775C" w:rsidRPr="00CD78D1" w14:paraId="615168A6" w14:textId="77777777" w:rsidTr="00D5002A">
        <w:tc>
          <w:tcPr>
            <w:tcW w:w="3528" w:type="dxa"/>
            <w:gridSpan w:val="2"/>
          </w:tcPr>
          <w:p w14:paraId="6AB9DFB8" w14:textId="77777777" w:rsidR="000A775C" w:rsidRPr="00CD78D1" w:rsidRDefault="000A775C" w:rsidP="003E40EE">
            <w:pPr>
              <w:spacing w:after="120"/>
              <w:jc w:val="center"/>
              <w:rPr>
                <w:rFonts w:ascii="Arial" w:hAnsi="Arial" w:cs="Arial"/>
                <w:b/>
              </w:rPr>
            </w:pPr>
            <w:r w:rsidRPr="00CD78D1">
              <w:rPr>
                <w:rFonts w:ascii="Arial" w:hAnsi="Arial" w:cs="Arial"/>
                <w:b/>
              </w:rPr>
              <w:t>Version</w:t>
            </w:r>
          </w:p>
        </w:tc>
        <w:tc>
          <w:tcPr>
            <w:tcW w:w="6048" w:type="dxa"/>
            <w:tcBorders>
              <w:top w:val="nil"/>
              <w:right w:val="nil"/>
            </w:tcBorders>
          </w:tcPr>
          <w:p w14:paraId="77C87C31" w14:textId="77777777" w:rsidR="000A775C" w:rsidRPr="00CD78D1" w:rsidRDefault="000A775C" w:rsidP="003E40EE">
            <w:pPr>
              <w:spacing w:after="120"/>
              <w:rPr>
                <w:rFonts w:ascii="Arial" w:hAnsi="Arial" w:cs="Arial"/>
                <w:b/>
              </w:rPr>
            </w:pPr>
          </w:p>
        </w:tc>
      </w:tr>
      <w:tr w:rsidR="000A775C" w:rsidRPr="00CD78D1" w14:paraId="09E3D399" w14:textId="77777777" w:rsidTr="00D5002A">
        <w:tc>
          <w:tcPr>
            <w:tcW w:w="1638" w:type="dxa"/>
          </w:tcPr>
          <w:p w14:paraId="0B288418" w14:textId="77777777" w:rsidR="000A775C" w:rsidRPr="00CD78D1" w:rsidRDefault="000A775C" w:rsidP="003E40EE">
            <w:pPr>
              <w:spacing w:after="120"/>
              <w:rPr>
                <w:rFonts w:ascii="Arial" w:hAnsi="Arial" w:cs="Arial"/>
                <w:b/>
              </w:rPr>
            </w:pPr>
            <w:r w:rsidRPr="00CD78D1">
              <w:rPr>
                <w:rFonts w:ascii="Arial" w:hAnsi="Arial" w:cs="Arial"/>
                <w:b/>
              </w:rPr>
              <w:t>Number</w:t>
            </w:r>
          </w:p>
        </w:tc>
        <w:tc>
          <w:tcPr>
            <w:tcW w:w="1890" w:type="dxa"/>
          </w:tcPr>
          <w:p w14:paraId="2C6053C1" w14:textId="77777777" w:rsidR="000A775C" w:rsidRPr="00CD78D1" w:rsidRDefault="000A775C" w:rsidP="003E40EE">
            <w:pPr>
              <w:spacing w:after="120"/>
              <w:rPr>
                <w:rFonts w:ascii="Arial" w:hAnsi="Arial" w:cs="Arial"/>
                <w:b/>
              </w:rPr>
            </w:pPr>
            <w:r w:rsidRPr="00CD78D1">
              <w:rPr>
                <w:rFonts w:ascii="Arial" w:hAnsi="Arial" w:cs="Arial"/>
                <w:b/>
              </w:rPr>
              <w:t>Date</w:t>
            </w:r>
          </w:p>
        </w:tc>
        <w:tc>
          <w:tcPr>
            <w:tcW w:w="6048" w:type="dxa"/>
          </w:tcPr>
          <w:p w14:paraId="0679CE16" w14:textId="77777777" w:rsidR="000A775C" w:rsidRPr="00CD78D1" w:rsidRDefault="000A775C" w:rsidP="003E40EE">
            <w:pPr>
              <w:spacing w:after="120"/>
              <w:rPr>
                <w:rFonts w:ascii="Arial" w:hAnsi="Arial" w:cs="Arial"/>
                <w:b/>
              </w:rPr>
            </w:pPr>
            <w:r w:rsidRPr="00CD78D1">
              <w:rPr>
                <w:rFonts w:ascii="Arial" w:hAnsi="Arial" w:cs="Arial"/>
                <w:b/>
              </w:rPr>
              <w:t>Summary of Revisions Made:</w:t>
            </w:r>
          </w:p>
        </w:tc>
      </w:tr>
      <w:tr w:rsidR="0083656B" w:rsidRPr="00CD78D1" w14:paraId="6383D571" w14:textId="77777777" w:rsidTr="00D5002A">
        <w:tc>
          <w:tcPr>
            <w:tcW w:w="1638" w:type="dxa"/>
          </w:tcPr>
          <w:p w14:paraId="04395181" w14:textId="77777777" w:rsidR="0083656B" w:rsidRPr="00D82E18" w:rsidRDefault="0083656B" w:rsidP="00D82E18">
            <w:pPr>
              <w:spacing w:after="60"/>
              <w:rPr>
                <w:rFonts w:ascii="Arial" w:hAnsi="Arial" w:cs="Arial"/>
              </w:rPr>
            </w:pPr>
            <w:r w:rsidRPr="00D82E18">
              <w:rPr>
                <w:rFonts w:ascii="Arial" w:hAnsi="Arial" w:cs="Arial"/>
              </w:rPr>
              <w:t>1.0</w:t>
            </w:r>
          </w:p>
        </w:tc>
        <w:tc>
          <w:tcPr>
            <w:tcW w:w="1890" w:type="dxa"/>
          </w:tcPr>
          <w:p w14:paraId="25F868D4" w14:textId="77777777" w:rsidR="0083656B" w:rsidRPr="00D82E18" w:rsidRDefault="00022DA6" w:rsidP="00D82E18">
            <w:pPr>
              <w:spacing w:after="60"/>
              <w:rPr>
                <w:rFonts w:ascii="Arial" w:hAnsi="Arial" w:cs="Arial"/>
              </w:rPr>
            </w:pPr>
            <w:r w:rsidRPr="00D82E18">
              <w:rPr>
                <w:rFonts w:ascii="Arial" w:hAnsi="Arial" w:cs="Arial"/>
              </w:rPr>
              <w:t>23</w:t>
            </w:r>
            <w:r w:rsidR="0083656B" w:rsidRPr="00D82E18">
              <w:rPr>
                <w:rFonts w:ascii="Arial" w:hAnsi="Arial" w:cs="Arial"/>
              </w:rPr>
              <w:t>FEB2012</w:t>
            </w:r>
          </w:p>
        </w:tc>
        <w:tc>
          <w:tcPr>
            <w:tcW w:w="6048" w:type="dxa"/>
          </w:tcPr>
          <w:p w14:paraId="45DA51E0" w14:textId="77777777" w:rsidR="0083656B" w:rsidRPr="00D82E18" w:rsidRDefault="0083656B" w:rsidP="00D82E18">
            <w:pPr>
              <w:spacing w:after="60"/>
              <w:rPr>
                <w:rFonts w:ascii="Arial" w:hAnsi="Arial" w:cs="Arial"/>
              </w:rPr>
            </w:pPr>
            <w:r w:rsidRPr="00D82E18">
              <w:rPr>
                <w:rFonts w:ascii="Arial" w:hAnsi="Arial" w:cs="Arial"/>
              </w:rPr>
              <w:t>Approved version</w:t>
            </w:r>
          </w:p>
        </w:tc>
      </w:tr>
      <w:tr w:rsidR="0083656B" w:rsidRPr="00CD78D1" w14:paraId="4016D3F3" w14:textId="77777777" w:rsidTr="00D5002A">
        <w:tc>
          <w:tcPr>
            <w:tcW w:w="1638" w:type="dxa"/>
          </w:tcPr>
          <w:p w14:paraId="53A02C70" w14:textId="77777777" w:rsidR="0083656B" w:rsidRPr="00D82E18" w:rsidRDefault="00D82E18" w:rsidP="00D82E18">
            <w:pPr>
              <w:spacing w:after="60"/>
              <w:rPr>
                <w:rFonts w:ascii="Arial" w:hAnsi="Arial" w:cs="Arial"/>
              </w:rPr>
            </w:pPr>
            <w:r w:rsidRPr="00D82E18">
              <w:rPr>
                <w:rFonts w:ascii="Arial" w:hAnsi="Arial" w:cs="Arial"/>
              </w:rPr>
              <w:t>2.0</w:t>
            </w:r>
          </w:p>
        </w:tc>
        <w:tc>
          <w:tcPr>
            <w:tcW w:w="1890" w:type="dxa"/>
          </w:tcPr>
          <w:p w14:paraId="42D59D1A" w14:textId="77777777" w:rsidR="0083656B" w:rsidRPr="00D82E18" w:rsidRDefault="00D82E18" w:rsidP="006122DE">
            <w:pPr>
              <w:spacing w:after="60"/>
              <w:rPr>
                <w:rFonts w:ascii="Arial" w:hAnsi="Arial" w:cs="Arial"/>
              </w:rPr>
            </w:pPr>
            <w:r w:rsidRPr="00D82E18">
              <w:rPr>
                <w:rFonts w:ascii="Arial" w:hAnsi="Arial" w:cs="Arial"/>
              </w:rPr>
              <w:t>1</w:t>
            </w:r>
            <w:r w:rsidR="006122DE">
              <w:rPr>
                <w:rFonts w:ascii="Arial" w:hAnsi="Arial" w:cs="Arial"/>
              </w:rPr>
              <w:t>9</w:t>
            </w:r>
            <w:r w:rsidRPr="00D82E18">
              <w:rPr>
                <w:rFonts w:ascii="Arial" w:hAnsi="Arial" w:cs="Arial"/>
              </w:rPr>
              <w:t>DEC2013</w:t>
            </w:r>
          </w:p>
        </w:tc>
        <w:tc>
          <w:tcPr>
            <w:tcW w:w="6048" w:type="dxa"/>
          </w:tcPr>
          <w:p w14:paraId="17F8D52D" w14:textId="77777777" w:rsidR="0083656B" w:rsidRPr="00D82E18" w:rsidRDefault="00FC6941" w:rsidP="00D82E18">
            <w:pPr>
              <w:spacing w:after="60"/>
              <w:rPr>
                <w:rFonts w:ascii="Arial" w:hAnsi="Arial" w:cs="Arial"/>
              </w:rPr>
            </w:pPr>
            <w:r w:rsidRPr="00D82E18">
              <w:rPr>
                <w:rFonts w:ascii="Arial" w:hAnsi="Arial" w:cs="Arial"/>
              </w:rPr>
              <w:t>Update</w:t>
            </w:r>
            <w:r w:rsidR="00D82E18" w:rsidRPr="00D82E18">
              <w:rPr>
                <w:rFonts w:ascii="Arial" w:hAnsi="Arial" w:cs="Arial"/>
              </w:rPr>
              <w:t>d</w:t>
            </w:r>
            <w:r w:rsidRPr="00D82E18">
              <w:rPr>
                <w:rFonts w:ascii="Arial" w:hAnsi="Arial" w:cs="Arial"/>
              </w:rPr>
              <w:t xml:space="preserve"> to reflect current risk/oversight process</w:t>
            </w:r>
            <w:r w:rsidR="00D82E18" w:rsidRPr="00D82E18">
              <w:rPr>
                <w:rFonts w:ascii="Arial" w:hAnsi="Arial" w:cs="Arial"/>
              </w:rPr>
              <w:t xml:space="preserve"> and policy, </w:t>
            </w:r>
            <w:r w:rsidR="00D82E18">
              <w:rPr>
                <w:rFonts w:ascii="Arial" w:hAnsi="Arial" w:cs="Arial"/>
              </w:rPr>
              <w:t xml:space="preserve">and </w:t>
            </w:r>
            <w:r w:rsidR="00D82E18" w:rsidRPr="00D82E18">
              <w:rPr>
                <w:rFonts w:ascii="Arial" w:hAnsi="Arial" w:cs="Arial"/>
              </w:rPr>
              <w:t>revised/added definitions and references to</w:t>
            </w:r>
            <w:r w:rsidR="003039A1" w:rsidRPr="00D82E18">
              <w:rPr>
                <w:rFonts w:ascii="Arial" w:hAnsi="Arial" w:cs="Arial"/>
              </w:rPr>
              <w:t xml:space="preserve"> existing tools</w:t>
            </w:r>
            <w:r w:rsidR="00D82E18" w:rsidRPr="00D82E18">
              <w:rPr>
                <w:rFonts w:ascii="Arial" w:hAnsi="Arial" w:cs="Arial"/>
              </w:rPr>
              <w:t xml:space="preserve"> and templates. </w:t>
            </w:r>
          </w:p>
        </w:tc>
      </w:tr>
    </w:tbl>
    <w:p w14:paraId="46CDD862" w14:textId="77777777" w:rsidR="00D5002A" w:rsidRDefault="00D5002A">
      <w:pPr>
        <w:spacing w:after="0" w:line="240" w:lineRule="auto"/>
        <w:rPr>
          <w:rFonts w:ascii="Arial" w:hAnsi="Arial"/>
        </w:rPr>
      </w:pPr>
      <w:r>
        <w:br w:type="page"/>
      </w:r>
    </w:p>
    <w:p w14:paraId="61F30FE6" w14:textId="77777777" w:rsidR="00621827" w:rsidRDefault="00091873" w:rsidP="00091873">
      <w:pPr>
        <w:pStyle w:val="Title"/>
      </w:pPr>
      <w:r>
        <w:lastRenderedPageBreak/>
        <w:t>Table of Contents</w:t>
      </w:r>
    </w:p>
    <w:p w14:paraId="44B5E4C3" w14:textId="77777777" w:rsidR="004E3A2F" w:rsidRDefault="004E3A2F" w:rsidP="00091873">
      <w:pPr>
        <w:pStyle w:val="Title"/>
      </w:pPr>
    </w:p>
    <w:p w14:paraId="1115F07F" w14:textId="77777777" w:rsidR="00791B9C" w:rsidRDefault="00BA2600">
      <w:pPr>
        <w:pStyle w:val="TOC1"/>
        <w:rPr>
          <w:rFonts w:asciiTheme="minorHAnsi" w:eastAsiaTheme="minorEastAsia" w:hAnsiTheme="minorHAnsi" w:cstheme="minorBidi"/>
          <w:caps w:val="0"/>
          <w:szCs w:val="22"/>
        </w:rPr>
      </w:pPr>
      <w:r w:rsidRPr="00A71EB9">
        <w:rPr>
          <w:rFonts w:cs="Arial"/>
          <w:b/>
          <w:sz w:val="20"/>
          <w:szCs w:val="20"/>
        </w:rPr>
        <w:fldChar w:fldCharType="begin"/>
      </w:r>
      <w:r w:rsidR="00CD5A70" w:rsidRPr="00A71EB9">
        <w:rPr>
          <w:rFonts w:cs="Arial"/>
          <w:b/>
          <w:sz w:val="20"/>
          <w:szCs w:val="20"/>
        </w:rPr>
        <w:instrText xml:space="preserve"> TOC \o "1-3" \h \z \u </w:instrText>
      </w:r>
      <w:r w:rsidRPr="00A71EB9">
        <w:rPr>
          <w:rFonts w:cs="Arial"/>
          <w:b/>
          <w:sz w:val="20"/>
          <w:szCs w:val="20"/>
        </w:rPr>
        <w:fldChar w:fldCharType="separate"/>
      </w:r>
      <w:hyperlink w:anchor="_Toc375231186" w:history="1">
        <w:r w:rsidR="00791B9C" w:rsidRPr="009A4CA8">
          <w:rPr>
            <w:rStyle w:val="Hyperlink"/>
          </w:rPr>
          <w:t>1</w:t>
        </w:r>
        <w:r w:rsidR="00791B9C">
          <w:rPr>
            <w:rFonts w:asciiTheme="minorHAnsi" w:eastAsiaTheme="minorEastAsia" w:hAnsiTheme="minorHAnsi" w:cstheme="minorBidi"/>
            <w:caps w:val="0"/>
            <w:szCs w:val="22"/>
          </w:rPr>
          <w:tab/>
        </w:r>
        <w:r w:rsidR="00791B9C" w:rsidRPr="009A4CA8">
          <w:rPr>
            <w:rStyle w:val="Hyperlink"/>
          </w:rPr>
          <w:t>ABBREVIATIONS AND TERMINOLOGY</w:t>
        </w:r>
        <w:r w:rsidR="00791B9C">
          <w:rPr>
            <w:webHidden/>
          </w:rPr>
          <w:tab/>
        </w:r>
        <w:r w:rsidR="00791B9C">
          <w:rPr>
            <w:webHidden/>
          </w:rPr>
          <w:fldChar w:fldCharType="begin"/>
        </w:r>
        <w:r w:rsidR="00791B9C">
          <w:rPr>
            <w:webHidden/>
          </w:rPr>
          <w:instrText xml:space="preserve"> PAGEREF _Toc375231186 \h </w:instrText>
        </w:r>
        <w:r w:rsidR="00791B9C">
          <w:rPr>
            <w:webHidden/>
          </w:rPr>
        </w:r>
        <w:r w:rsidR="00791B9C">
          <w:rPr>
            <w:webHidden/>
          </w:rPr>
          <w:fldChar w:fldCharType="separate"/>
        </w:r>
        <w:r w:rsidR="00791B9C">
          <w:rPr>
            <w:webHidden/>
          </w:rPr>
          <w:t>4</w:t>
        </w:r>
        <w:r w:rsidR="00791B9C">
          <w:rPr>
            <w:webHidden/>
          </w:rPr>
          <w:fldChar w:fldCharType="end"/>
        </w:r>
      </w:hyperlink>
    </w:p>
    <w:p w14:paraId="11B801F2" w14:textId="77777777" w:rsidR="00791B9C" w:rsidRDefault="0036768F">
      <w:pPr>
        <w:pStyle w:val="TOC1"/>
        <w:rPr>
          <w:rFonts w:asciiTheme="minorHAnsi" w:eastAsiaTheme="minorEastAsia" w:hAnsiTheme="minorHAnsi" w:cstheme="minorBidi"/>
          <w:caps w:val="0"/>
          <w:szCs w:val="22"/>
        </w:rPr>
      </w:pPr>
      <w:hyperlink w:anchor="_Toc375231187" w:history="1">
        <w:r w:rsidR="00791B9C" w:rsidRPr="009A4CA8">
          <w:rPr>
            <w:rStyle w:val="Hyperlink"/>
          </w:rPr>
          <w:t>2</w:t>
        </w:r>
        <w:r w:rsidR="00791B9C">
          <w:rPr>
            <w:rFonts w:asciiTheme="minorHAnsi" w:eastAsiaTheme="minorEastAsia" w:hAnsiTheme="minorHAnsi" w:cstheme="minorBidi"/>
            <w:caps w:val="0"/>
            <w:szCs w:val="22"/>
          </w:rPr>
          <w:tab/>
        </w:r>
        <w:r w:rsidR="00791B9C" w:rsidRPr="009A4CA8">
          <w:rPr>
            <w:rStyle w:val="Hyperlink"/>
          </w:rPr>
          <w:t>INTRODUCTION</w:t>
        </w:r>
        <w:r w:rsidR="00791B9C">
          <w:rPr>
            <w:webHidden/>
          </w:rPr>
          <w:tab/>
        </w:r>
        <w:r w:rsidR="00791B9C">
          <w:rPr>
            <w:webHidden/>
          </w:rPr>
          <w:fldChar w:fldCharType="begin"/>
        </w:r>
        <w:r w:rsidR="00791B9C">
          <w:rPr>
            <w:webHidden/>
          </w:rPr>
          <w:instrText xml:space="preserve"> PAGEREF _Toc375231187 \h </w:instrText>
        </w:r>
        <w:r w:rsidR="00791B9C">
          <w:rPr>
            <w:webHidden/>
          </w:rPr>
        </w:r>
        <w:r w:rsidR="00791B9C">
          <w:rPr>
            <w:webHidden/>
          </w:rPr>
          <w:fldChar w:fldCharType="separate"/>
        </w:r>
        <w:r w:rsidR="00791B9C">
          <w:rPr>
            <w:webHidden/>
          </w:rPr>
          <w:t>9</w:t>
        </w:r>
        <w:r w:rsidR="00791B9C">
          <w:rPr>
            <w:webHidden/>
          </w:rPr>
          <w:fldChar w:fldCharType="end"/>
        </w:r>
      </w:hyperlink>
    </w:p>
    <w:p w14:paraId="5B2F512B" w14:textId="77777777" w:rsidR="00791B9C" w:rsidRDefault="0036768F">
      <w:pPr>
        <w:pStyle w:val="TOC1"/>
        <w:rPr>
          <w:rFonts w:asciiTheme="minorHAnsi" w:eastAsiaTheme="minorEastAsia" w:hAnsiTheme="minorHAnsi" w:cstheme="minorBidi"/>
          <w:caps w:val="0"/>
          <w:szCs w:val="22"/>
        </w:rPr>
      </w:pPr>
      <w:hyperlink w:anchor="_Toc375231188" w:history="1">
        <w:r w:rsidR="00791B9C" w:rsidRPr="009A4CA8">
          <w:rPr>
            <w:rStyle w:val="Hyperlink"/>
          </w:rPr>
          <w:t>3</w:t>
        </w:r>
        <w:r w:rsidR="00791B9C">
          <w:rPr>
            <w:rFonts w:asciiTheme="minorHAnsi" w:eastAsiaTheme="minorEastAsia" w:hAnsiTheme="minorHAnsi" w:cstheme="minorBidi"/>
            <w:caps w:val="0"/>
            <w:szCs w:val="22"/>
          </w:rPr>
          <w:tab/>
        </w:r>
        <w:r w:rsidR="00791B9C" w:rsidRPr="009A4CA8">
          <w:rPr>
            <w:rStyle w:val="Hyperlink"/>
          </w:rPr>
          <w:t>PROTOCOL-RELATED AND STUDY ADMINISTRATION DOCUMENTS AND PROCESSES</w:t>
        </w:r>
        <w:r w:rsidR="00791B9C">
          <w:rPr>
            <w:webHidden/>
          </w:rPr>
          <w:tab/>
        </w:r>
        <w:r w:rsidR="00791B9C">
          <w:rPr>
            <w:webHidden/>
          </w:rPr>
          <w:fldChar w:fldCharType="begin"/>
        </w:r>
        <w:r w:rsidR="00791B9C">
          <w:rPr>
            <w:webHidden/>
          </w:rPr>
          <w:instrText xml:space="preserve"> PAGEREF _Toc375231188 \h </w:instrText>
        </w:r>
        <w:r w:rsidR="00791B9C">
          <w:rPr>
            <w:webHidden/>
          </w:rPr>
        </w:r>
        <w:r w:rsidR="00791B9C">
          <w:rPr>
            <w:webHidden/>
          </w:rPr>
          <w:fldChar w:fldCharType="separate"/>
        </w:r>
        <w:r w:rsidR="00791B9C">
          <w:rPr>
            <w:webHidden/>
          </w:rPr>
          <w:t>13</w:t>
        </w:r>
        <w:r w:rsidR="00791B9C">
          <w:rPr>
            <w:webHidden/>
          </w:rPr>
          <w:fldChar w:fldCharType="end"/>
        </w:r>
      </w:hyperlink>
    </w:p>
    <w:p w14:paraId="4149B790" w14:textId="77777777" w:rsidR="00791B9C" w:rsidRDefault="0036768F">
      <w:pPr>
        <w:pStyle w:val="TOC2"/>
        <w:rPr>
          <w:rFonts w:asciiTheme="minorHAnsi" w:hAnsiTheme="minorHAnsi"/>
        </w:rPr>
      </w:pPr>
      <w:hyperlink w:anchor="_Toc375231189" w:history="1">
        <w:r w:rsidR="00791B9C" w:rsidRPr="009A4CA8">
          <w:rPr>
            <w:rStyle w:val="Hyperlink"/>
          </w:rPr>
          <w:t>3.1</w:t>
        </w:r>
        <w:r w:rsidR="00791B9C">
          <w:rPr>
            <w:rFonts w:asciiTheme="minorHAnsi" w:hAnsiTheme="minorHAnsi"/>
          </w:rPr>
          <w:tab/>
        </w:r>
        <w:r w:rsidR="00791B9C" w:rsidRPr="009A4CA8">
          <w:rPr>
            <w:rStyle w:val="Hyperlink"/>
          </w:rPr>
          <w:t>Protocol and Consent/Assent Document Development, Review, and Internal Team Review and Approval</w:t>
        </w:r>
        <w:r w:rsidR="00791B9C">
          <w:rPr>
            <w:webHidden/>
          </w:rPr>
          <w:tab/>
        </w:r>
        <w:r w:rsidR="00791B9C">
          <w:rPr>
            <w:webHidden/>
          </w:rPr>
          <w:fldChar w:fldCharType="begin"/>
        </w:r>
        <w:r w:rsidR="00791B9C">
          <w:rPr>
            <w:webHidden/>
          </w:rPr>
          <w:instrText xml:space="preserve"> PAGEREF _Toc375231189 \h </w:instrText>
        </w:r>
        <w:r w:rsidR="00791B9C">
          <w:rPr>
            <w:webHidden/>
          </w:rPr>
        </w:r>
        <w:r w:rsidR="00791B9C">
          <w:rPr>
            <w:webHidden/>
          </w:rPr>
          <w:fldChar w:fldCharType="separate"/>
        </w:r>
        <w:r w:rsidR="00791B9C">
          <w:rPr>
            <w:webHidden/>
          </w:rPr>
          <w:t>13</w:t>
        </w:r>
        <w:r w:rsidR="00791B9C">
          <w:rPr>
            <w:webHidden/>
          </w:rPr>
          <w:fldChar w:fldCharType="end"/>
        </w:r>
      </w:hyperlink>
    </w:p>
    <w:p w14:paraId="4413DA17" w14:textId="77777777" w:rsidR="00791B9C" w:rsidRDefault="0036768F">
      <w:pPr>
        <w:pStyle w:val="TOC3"/>
        <w:rPr>
          <w:rFonts w:asciiTheme="minorHAnsi" w:hAnsiTheme="minorHAnsi"/>
        </w:rPr>
      </w:pPr>
      <w:hyperlink w:anchor="_Toc375231190" w:history="1">
        <w:r w:rsidR="00791B9C" w:rsidRPr="009A4CA8">
          <w:rPr>
            <w:rStyle w:val="Hyperlink"/>
          </w:rPr>
          <w:t>3.1.1</w:t>
        </w:r>
        <w:r w:rsidR="00791B9C">
          <w:rPr>
            <w:rFonts w:asciiTheme="minorHAnsi" w:hAnsiTheme="minorHAnsi"/>
          </w:rPr>
          <w:tab/>
        </w:r>
        <w:r w:rsidR="00791B9C" w:rsidRPr="009A4CA8">
          <w:rPr>
            <w:rStyle w:val="Hyperlink"/>
          </w:rPr>
          <w:t>Protocol</w:t>
        </w:r>
        <w:r w:rsidR="00791B9C">
          <w:rPr>
            <w:webHidden/>
          </w:rPr>
          <w:tab/>
        </w:r>
        <w:r w:rsidR="00791B9C">
          <w:rPr>
            <w:webHidden/>
          </w:rPr>
          <w:fldChar w:fldCharType="begin"/>
        </w:r>
        <w:r w:rsidR="00791B9C">
          <w:rPr>
            <w:webHidden/>
          </w:rPr>
          <w:instrText xml:space="preserve"> PAGEREF _Toc375231190 \h </w:instrText>
        </w:r>
        <w:r w:rsidR="00791B9C">
          <w:rPr>
            <w:webHidden/>
          </w:rPr>
        </w:r>
        <w:r w:rsidR="00791B9C">
          <w:rPr>
            <w:webHidden/>
          </w:rPr>
          <w:fldChar w:fldCharType="separate"/>
        </w:r>
        <w:r w:rsidR="00791B9C">
          <w:rPr>
            <w:webHidden/>
          </w:rPr>
          <w:t>13</w:t>
        </w:r>
        <w:r w:rsidR="00791B9C">
          <w:rPr>
            <w:webHidden/>
          </w:rPr>
          <w:fldChar w:fldCharType="end"/>
        </w:r>
      </w:hyperlink>
    </w:p>
    <w:p w14:paraId="48A288D6" w14:textId="77777777" w:rsidR="00791B9C" w:rsidRDefault="0036768F">
      <w:pPr>
        <w:pStyle w:val="TOC3"/>
        <w:rPr>
          <w:rFonts w:asciiTheme="minorHAnsi" w:hAnsiTheme="minorHAnsi"/>
        </w:rPr>
      </w:pPr>
      <w:hyperlink w:anchor="_Toc375231191" w:history="1">
        <w:r w:rsidR="00791B9C" w:rsidRPr="009A4CA8">
          <w:rPr>
            <w:rStyle w:val="Hyperlink"/>
          </w:rPr>
          <w:t>3.1.2</w:t>
        </w:r>
        <w:r w:rsidR="00791B9C">
          <w:rPr>
            <w:rFonts w:asciiTheme="minorHAnsi" w:hAnsiTheme="minorHAnsi"/>
          </w:rPr>
          <w:tab/>
        </w:r>
        <w:r w:rsidR="00791B9C" w:rsidRPr="009A4CA8">
          <w:rPr>
            <w:rStyle w:val="Hyperlink"/>
          </w:rPr>
          <w:t>Consent Documents (CD) and Assent Documents</w:t>
        </w:r>
        <w:r w:rsidR="00791B9C">
          <w:rPr>
            <w:webHidden/>
          </w:rPr>
          <w:tab/>
        </w:r>
        <w:r w:rsidR="00791B9C">
          <w:rPr>
            <w:webHidden/>
          </w:rPr>
          <w:fldChar w:fldCharType="begin"/>
        </w:r>
        <w:r w:rsidR="00791B9C">
          <w:rPr>
            <w:webHidden/>
          </w:rPr>
          <w:instrText xml:space="preserve"> PAGEREF _Toc375231191 \h </w:instrText>
        </w:r>
        <w:r w:rsidR="00791B9C">
          <w:rPr>
            <w:webHidden/>
          </w:rPr>
        </w:r>
        <w:r w:rsidR="00791B9C">
          <w:rPr>
            <w:webHidden/>
          </w:rPr>
          <w:fldChar w:fldCharType="separate"/>
        </w:r>
        <w:r w:rsidR="00791B9C">
          <w:rPr>
            <w:webHidden/>
          </w:rPr>
          <w:t>14</w:t>
        </w:r>
        <w:r w:rsidR="00791B9C">
          <w:rPr>
            <w:webHidden/>
          </w:rPr>
          <w:fldChar w:fldCharType="end"/>
        </w:r>
      </w:hyperlink>
    </w:p>
    <w:p w14:paraId="1E684379" w14:textId="77777777" w:rsidR="00791B9C" w:rsidRDefault="0036768F">
      <w:pPr>
        <w:pStyle w:val="TOC2"/>
        <w:rPr>
          <w:rFonts w:asciiTheme="minorHAnsi" w:hAnsiTheme="minorHAnsi"/>
        </w:rPr>
      </w:pPr>
      <w:hyperlink w:anchor="_Toc375231192" w:history="1">
        <w:r w:rsidR="00791B9C" w:rsidRPr="009A4CA8">
          <w:rPr>
            <w:rStyle w:val="Hyperlink"/>
          </w:rPr>
          <w:t>3.2</w:t>
        </w:r>
        <w:r w:rsidR="00791B9C">
          <w:rPr>
            <w:rFonts w:asciiTheme="minorHAnsi" w:hAnsiTheme="minorHAnsi"/>
          </w:rPr>
          <w:tab/>
        </w:r>
        <w:r w:rsidR="00791B9C" w:rsidRPr="009A4CA8">
          <w:rPr>
            <w:rStyle w:val="Hyperlink"/>
          </w:rPr>
          <w:t>Other Reviews and Approvals of Protocol and Consent/Assent Documents</w:t>
        </w:r>
        <w:r w:rsidR="00791B9C">
          <w:rPr>
            <w:webHidden/>
          </w:rPr>
          <w:tab/>
        </w:r>
        <w:r w:rsidR="00791B9C">
          <w:rPr>
            <w:webHidden/>
          </w:rPr>
          <w:fldChar w:fldCharType="begin"/>
        </w:r>
        <w:r w:rsidR="00791B9C">
          <w:rPr>
            <w:webHidden/>
          </w:rPr>
          <w:instrText xml:space="preserve"> PAGEREF _Toc375231192 \h </w:instrText>
        </w:r>
        <w:r w:rsidR="00791B9C">
          <w:rPr>
            <w:webHidden/>
          </w:rPr>
        </w:r>
        <w:r w:rsidR="00791B9C">
          <w:rPr>
            <w:webHidden/>
          </w:rPr>
          <w:fldChar w:fldCharType="separate"/>
        </w:r>
        <w:r w:rsidR="00791B9C">
          <w:rPr>
            <w:webHidden/>
          </w:rPr>
          <w:t>15</w:t>
        </w:r>
        <w:r w:rsidR="00791B9C">
          <w:rPr>
            <w:webHidden/>
          </w:rPr>
          <w:fldChar w:fldCharType="end"/>
        </w:r>
      </w:hyperlink>
    </w:p>
    <w:p w14:paraId="20F1489C" w14:textId="77777777" w:rsidR="00791B9C" w:rsidRDefault="0036768F">
      <w:pPr>
        <w:pStyle w:val="TOC3"/>
        <w:rPr>
          <w:rFonts w:asciiTheme="minorHAnsi" w:hAnsiTheme="minorHAnsi"/>
        </w:rPr>
      </w:pPr>
      <w:hyperlink w:anchor="_Toc375231193" w:history="1">
        <w:r w:rsidR="00791B9C" w:rsidRPr="009A4CA8">
          <w:rPr>
            <w:rStyle w:val="Hyperlink"/>
          </w:rPr>
          <w:t>3.2.1</w:t>
        </w:r>
        <w:r w:rsidR="00791B9C">
          <w:rPr>
            <w:rFonts w:asciiTheme="minorHAnsi" w:hAnsiTheme="minorHAnsi"/>
          </w:rPr>
          <w:tab/>
        </w:r>
        <w:r w:rsidR="00791B9C" w:rsidRPr="009A4CA8">
          <w:rPr>
            <w:rStyle w:val="Hyperlink"/>
          </w:rPr>
          <w:t>Scientific or Local Research Committee, Radiation or Other Therapeutic Review Committee</w:t>
        </w:r>
        <w:r w:rsidR="00791B9C">
          <w:rPr>
            <w:webHidden/>
          </w:rPr>
          <w:tab/>
        </w:r>
        <w:r w:rsidR="00791B9C">
          <w:rPr>
            <w:webHidden/>
          </w:rPr>
          <w:fldChar w:fldCharType="begin"/>
        </w:r>
        <w:r w:rsidR="00791B9C">
          <w:rPr>
            <w:webHidden/>
          </w:rPr>
          <w:instrText xml:space="preserve"> PAGEREF _Toc375231193 \h </w:instrText>
        </w:r>
        <w:r w:rsidR="00791B9C">
          <w:rPr>
            <w:webHidden/>
          </w:rPr>
        </w:r>
        <w:r w:rsidR="00791B9C">
          <w:rPr>
            <w:webHidden/>
          </w:rPr>
          <w:fldChar w:fldCharType="separate"/>
        </w:r>
        <w:r w:rsidR="00791B9C">
          <w:rPr>
            <w:webHidden/>
          </w:rPr>
          <w:t>15</w:t>
        </w:r>
        <w:r w:rsidR="00791B9C">
          <w:rPr>
            <w:webHidden/>
          </w:rPr>
          <w:fldChar w:fldCharType="end"/>
        </w:r>
      </w:hyperlink>
    </w:p>
    <w:p w14:paraId="637B3F5E" w14:textId="77777777" w:rsidR="00791B9C" w:rsidRDefault="0036768F">
      <w:pPr>
        <w:pStyle w:val="TOC3"/>
        <w:rPr>
          <w:rFonts w:asciiTheme="minorHAnsi" w:hAnsiTheme="minorHAnsi"/>
        </w:rPr>
      </w:pPr>
      <w:hyperlink w:anchor="_Toc375231194" w:history="1">
        <w:r w:rsidR="00791B9C" w:rsidRPr="009A4CA8">
          <w:rPr>
            <w:rStyle w:val="Hyperlink"/>
          </w:rPr>
          <w:t>3.2.2</w:t>
        </w:r>
        <w:r w:rsidR="00791B9C">
          <w:rPr>
            <w:rFonts w:asciiTheme="minorHAnsi" w:hAnsiTheme="minorHAnsi"/>
          </w:rPr>
          <w:tab/>
        </w:r>
        <w:r w:rsidR="00791B9C" w:rsidRPr="009A4CA8">
          <w:rPr>
            <w:rStyle w:val="Hyperlink"/>
          </w:rPr>
          <w:t>NIDCR Safety Oversight Review</w:t>
        </w:r>
        <w:r w:rsidR="00791B9C">
          <w:rPr>
            <w:webHidden/>
          </w:rPr>
          <w:tab/>
        </w:r>
        <w:r w:rsidR="00791B9C">
          <w:rPr>
            <w:webHidden/>
          </w:rPr>
          <w:fldChar w:fldCharType="begin"/>
        </w:r>
        <w:r w:rsidR="00791B9C">
          <w:rPr>
            <w:webHidden/>
          </w:rPr>
          <w:instrText xml:space="preserve"> PAGEREF _Toc375231194 \h </w:instrText>
        </w:r>
        <w:r w:rsidR="00791B9C">
          <w:rPr>
            <w:webHidden/>
          </w:rPr>
        </w:r>
        <w:r w:rsidR="00791B9C">
          <w:rPr>
            <w:webHidden/>
          </w:rPr>
          <w:fldChar w:fldCharType="separate"/>
        </w:r>
        <w:r w:rsidR="00791B9C">
          <w:rPr>
            <w:webHidden/>
          </w:rPr>
          <w:t>15</w:t>
        </w:r>
        <w:r w:rsidR="00791B9C">
          <w:rPr>
            <w:webHidden/>
          </w:rPr>
          <w:fldChar w:fldCharType="end"/>
        </w:r>
      </w:hyperlink>
    </w:p>
    <w:p w14:paraId="0A3AE9EB" w14:textId="77777777" w:rsidR="00791B9C" w:rsidRDefault="0036768F">
      <w:pPr>
        <w:pStyle w:val="TOC3"/>
        <w:rPr>
          <w:rFonts w:asciiTheme="minorHAnsi" w:hAnsiTheme="minorHAnsi"/>
        </w:rPr>
      </w:pPr>
      <w:hyperlink w:anchor="_Toc375231195" w:history="1">
        <w:r w:rsidR="00791B9C" w:rsidRPr="009A4CA8">
          <w:rPr>
            <w:rStyle w:val="Hyperlink"/>
          </w:rPr>
          <w:t>3.2.3</w:t>
        </w:r>
        <w:r w:rsidR="00791B9C">
          <w:rPr>
            <w:rFonts w:asciiTheme="minorHAnsi" w:hAnsiTheme="minorHAnsi"/>
          </w:rPr>
          <w:tab/>
        </w:r>
        <w:r w:rsidR="00791B9C" w:rsidRPr="009A4CA8">
          <w:rPr>
            <w:rStyle w:val="Hyperlink"/>
          </w:rPr>
          <w:t>IRB Review</w:t>
        </w:r>
        <w:r w:rsidR="00791B9C">
          <w:rPr>
            <w:webHidden/>
          </w:rPr>
          <w:tab/>
        </w:r>
        <w:r w:rsidR="00791B9C">
          <w:rPr>
            <w:webHidden/>
          </w:rPr>
          <w:fldChar w:fldCharType="begin"/>
        </w:r>
        <w:r w:rsidR="00791B9C">
          <w:rPr>
            <w:webHidden/>
          </w:rPr>
          <w:instrText xml:space="preserve"> PAGEREF _Toc375231195 \h </w:instrText>
        </w:r>
        <w:r w:rsidR="00791B9C">
          <w:rPr>
            <w:webHidden/>
          </w:rPr>
        </w:r>
        <w:r w:rsidR="00791B9C">
          <w:rPr>
            <w:webHidden/>
          </w:rPr>
          <w:fldChar w:fldCharType="separate"/>
        </w:r>
        <w:r w:rsidR="00791B9C">
          <w:rPr>
            <w:webHidden/>
          </w:rPr>
          <w:t>16</w:t>
        </w:r>
        <w:r w:rsidR="00791B9C">
          <w:rPr>
            <w:webHidden/>
          </w:rPr>
          <w:fldChar w:fldCharType="end"/>
        </w:r>
      </w:hyperlink>
    </w:p>
    <w:p w14:paraId="112C9E03" w14:textId="77777777" w:rsidR="00791B9C" w:rsidRDefault="0036768F">
      <w:pPr>
        <w:pStyle w:val="TOC2"/>
        <w:rPr>
          <w:rFonts w:asciiTheme="minorHAnsi" w:hAnsiTheme="minorHAnsi"/>
        </w:rPr>
      </w:pPr>
      <w:hyperlink w:anchor="_Toc375231196" w:history="1">
        <w:r w:rsidR="00791B9C" w:rsidRPr="009A4CA8">
          <w:rPr>
            <w:rStyle w:val="Hyperlink"/>
          </w:rPr>
          <w:t>3.3</w:t>
        </w:r>
        <w:r w:rsidR="00791B9C">
          <w:rPr>
            <w:rFonts w:asciiTheme="minorHAnsi" w:hAnsiTheme="minorHAnsi"/>
          </w:rPr>
          <w:tab/>
        </w:r>
        <w:r w:rsidR="00791B9C" w:rsidRPr="009A4CA8">
          <w:rPr>
            <w:rStyle w:val="Hyperlink"/>
          </w:rPr>
          <w:t>Study Plan, Timeline, and Communication Plan</w:t>
        </w:r>
        <w:r w:rsidR="00791B9C">
          <w:rPr>
            <w:webHidden/>
          </w:rPr>
          <w:tab/>
        </w:r>
        <w:r w:rsidR="00791B9C">
          <w:rPr>
            <w:webHidden/>
          </w:rPr>
          <w:fldChar w:fldCharType="begin"/>
        </w:r>
        <w:r w:rsidR="00791B9C">
          <w:rPr>
            <w:webHidden/>
          </w:rPr>
          <w:instrText xml:space="preserve"> PAGEREF _Toc375231196 \h </w:instrText>
        </w:r>
        <w:r w:rsidR="00791B9C">
          <w:rPr>
            <w:webHidden/>
          </w:rPr>
        </w:r>
        <w:r w:rsidR="00791B9C">
          <w:rPr>
            <w:webHidden/>
          </w:rPr>
          <w:fldChar w:fldCharType="separate"/>
        </w:r>
        <w:r w:rsidR="00791B9C">
          <w:rPr>
            <w:webHidden/>
          </w:rPr>
          <w:t>16</w:t>
        </w:r>
        <w:r w:rsidR="00791B9C">
          <w:rPr>
            <w:webHidden/>
          </w:rPr>
          <w:fldChar w:fldCharType="end"/>
        </w:r>
      </w:hyperlink>
    </w:p>
    <w:p w14:paraId="77B6910F" w14:textId="77777777" w:rsidR="00791B9C" w:rsidRDefault="0036768F">
      <w:pPr>
        <w:pStyle w:val="TOC3"/>
        <w:rPr>
          <w:rFonts w:asciiTheme="minorHAnsi" w:hAnsiTheme="minorHAnsi"/>
        </w:rPr>
      </w:pPr>
      <w:hyperlink w:anchor="_Toc375231197" w:history="1">
        <w:r w:rsidR="00791B9C" w:rsidRPr="009A4CA8">
          <w:rPr>
            <w:rStyle w:val="Hyperlink"/>
          </w:rPr>
          <w:t>3.3.1</w:t>
        </w:r>
        <w:r w:rsidR="00791B9C">
          <w:rPr>
            <w:rFonts w:asciiTheme="minorHAnsi" w:hAnsiTheme="minorHAnsi"/>
          </w:rPr>
          <w:tab/>
        </w:r>
        <w:r w:rsidR="00791B9C" w:rsidRPr="009A4CA8">
          <w:rPr>
            <w:rStyle w:val="Hyperlink"/>
          </w:rPr>
          <w:t>Identify all Parties who will be Participating in the Study and Clarify the Responsibilities</w:t>
        </w:r>
        <w:r w:rsidR="00791B9C">
          <w:rPr>
            <w:webHidden/>
          </w:rPr>
          <w:tab/>
        </w:r>
        <w:r w:rsidR="00791B9C">
          <w:rPr>
            <w:webHidden/>
          </w:rPr>
          <w:fldChar w:fldCharType="begin"/>
        </w:r>
        <w:r w:rsidR="00791B9C">
          <w:rPr>
            <w:webHidden/>
          </w:rPr>
          <w:instrText xml:space="preserve"> PAGEREF _Toc375231197 \h </w:instrText>
        </w:r>
        <w:r w:rsidR="00791B9C">
          <w:rPr>
            <w:webHidden/>
          </w:rPr>
        </w:r>
        <w:r w:rsidR="00791B9C">
          <w:rPr>
            <w:webHidden/>
          </w:rPr>
          <w:fldChar w:fldCharType="separate"/>
        </w:r>
        <w:r w:rsidR="00791B9C">
          <w:rPr>
            <w:webHidden/>
          </w:rPr>
          <w:t>17</w:t>
        </w:r>
        <w:r w:rsidR="00791B9C">
          <w:rPr>
            <w:webHidden/>
          </w:rPr>
          <w:fldChar w:fldCharType="end"/>
        </w:r>
      </w:hyperlink>
    </w:p>
    <w:p w14:paraId="31E7E097" w14:textId="77777777" w:rsidR="00791B9C" w:rsidRDefault="0036768F">
      <w:pPr>
        <w:pStyle w:val="TOC3"/>
        <w:rPr>
          <w:rFonts w:asciiTheme="minorHAnsi" w:hAnsiTheme="minorHAnsi"/>
        </w:rPr>
      </w:pPr>
      <w:hyperlink w:anchor="_Toc375231198" w:history="1">
        <w:r w:rsidR="00791B9C" w:rsidRPr="009A4CA8">
          <w:rPr>
            <w:rStyle w:val="Hyperlink"/>
          </w:rPr>
          <w:t>3.3.2</w:t>
        </w:r>
        <w:r w:rsidR="00791B9C">
          <w:rPr>
            <w:rFonts w:asciiTheme="minorHAnsi" w:hAnsiTheme="minorHAnsi"/>
          </w:rPr>
          <w:tab/>
        </w:r>
        <w:r w:rsidR="00791B9C" w:rsidRPr="009A4CA8">
          <w:rPr>
            <w:rStyle w:val="Hyperlink"/>
          </w:rPr>
          <w:t>Prepare Timeline or Start-up Tracking Tool</w:t>
        </w:r>
        <w:r w:rsidR="00791B9C">
          <w:rPr>
            <w:webHidden/>
          </w:rPr>
          <w:tab/>
        </w:r>
        <w:r w:rsidR="00791B9C">
          <w:rPr>
            <w:webHidden/>
          </w:rPr>
          <w:fldChar w:fldCharType="begin"/>
        </w:r>
        <w:r w:rsidR="00791B9C">
          <w:rPr>
            <w:webHidden/>
          </w:rPr>
          <w:instrText xml:space="preserve"> PAGEREF _Toc375231198 \h </w:instrText>
        </w:r>
        <w:r w:rsidR="00791B9C">
          <w:rPr>
            <w:webHidden/>
          </w:rPr>
        </w:r>
        <w:r w:rsidR="00791B9C">
          <w:rPr>
            <w:webHidden/>
          </w:rPr>
          <w:fldChar w:fldCharType="separate"/>
        </w:r>
        <w:r w:rsidR="00791B9C">
          <w:rPr>
            <w:webHidden/>
          </w:rPr>
          <w:t>17</w:t>
        </w:r>
        <w:r w:rsidR="00791B9C">
          <w:rPr>
            <w:webHidden/>
          </w:rPr>
          <w:fldChar w:fldCharType="end"/>
        </w:r>
      </w:hyperlink>
    </w:p>
    <w:p w14:paraId="279FC950" w14:textId="77777777" w:rsidR="00791B9C" w:rsidRDefault="0036768F">
      <w:pPr>
        <w:pStyle w:val="TOC3"/>
        <w:rPr>
          <w:rFonts w:asciiTheme="minorHAnsi" w:hAnsiTheme="minorHAnsi"/>
        </w:rPr>
      </w:pPr>
      <w:hyperlink w:anchor="_Toc375231199" w:history="1">
        <w:r w:rsidR="00791B9C" w:rsidRPr="009A4CA8">
          <w:rPr>
            <w:rStyle w:val="Hyperlink"/>
          </w:rPr>
          <w:t>3.3.3</w:t>
        </w:r>
        <w:r w:rsidR="00791B9C">
          <w:rPr>
            <w:rFonts w:asciiTheme="minorHAnsi" w:hAnsiTheme="minorHAnsi"/>
          </w:rPr>
          <w:tab/>
        </w:r>
        <w:r w:rsidR="00791B9C" w:rsidRPr="009A4CA8">
          <w:rPr>
            <w:rStyle w:val="Hyperlink"/>
          </w:rPr>
          <w:t>Conduct Regular Meetings during Start-up</w:t>
        </w:r>
        <w:r w:rsidR="00791B9C">
          <w:rPr>
            <w:webHidden/>
          </w:rPr>
          <w:tab/>
        </w:r>
        <w:r w:rsidR="00791B9C">
          <w:rPr>
            <w:webHidden/>
          </w:rPr>
          <w:fldChar w:fldCharType="begin"/>
        </w:r>
        <w:r w:rsidR="00791B9C">
          <w:rPr>
            <w:webHidden/>
          </w:rPr>
          <w:instrText xml:space="preserve"> PAGEREF _Toc375231199 \h </w:instrText>
        </w:r>
        <w:r w:rsidR="00791B9C">
          <w:rPr>
            <w:webHidden/>
          </w:rPr>
        </w:r>
        <w:r w:rsidR="00791B9C">
          <w:rPr>
            <w:webHidden/>
          </w:rPr>
          <w:fldChar w:fldCharType="separate"/>
        </w:r>
        <w:r w:rsidR="00791B9C">
          <w:rPr>
            <w:webHidden/>
          </w:rPr>
          <w:t>18</w:t>
        </w:r>
        <w:r w:rsidR="00791B9C">
          <w:rPr>
            <w:webHidden/>
          </w:rPr>
          <w:fldChar w:fldCharType="end"/>
        </w:r>
      </w:hyperlink>
    </w:p>
    <w:p w14:paraId="37FACE57" w14:textId="77777777" w:rsidR="00791B9C" w:rsidRDefault="0036768F">
      <w:pPr>
        <w:pStyle w:val="TOC2"/>
        <w:rPr>
          <w:rFonts w:asciiTheme="minorHAnsi" w:hAnsiTheme="minorHAnsi"/>
        </w:rPr>
      </w:pPr>
      <w:hyperlink w:anchor="_Toc375231200" w:history="1">
        <w:r w:rsidR="00791B9C" w:rsidRPr="009A4CA8">
          <w:rPr>
            <w:rStyle w:val="Hyperlink"/>
          </w:rPr>
          <w:t>3.4</w:t>
        </w:r>
        <w:r w:rsidR="00791B9C">
          <w:rPr>
            <w:rFonts w:asciiTheme="minorHAnsi" w:hAnsiTheme="minorHAnsi"/>
          </w:rPr>
          <w:tab/>
        </w:r>
        <w:r w:rsidR="00791B9C" w:rsidRPr="009A4CA8">
          <w:rPr>
            <w:rStyle w:val="Hyperlink"/>
          </w:rPr>
          <w:t>Manual of Procedures (MOP) or Other Study Process Documentation</w:t>
        </w:r>
        <w:r w:rsidR="00791B9C">
          <w:rPr>
            <w:webHidden/>
          </w:rPr>
          <w:tab/>
        </w:r>
        <w:r w:rsidR="00791B9C">
          <w:rPr>
            <w:webHidden/>
          </w:rPr>
          <w:fldChar w:fldCharType="begin"/>
        </w:r>
        <w:r w:rsidR="00791B9C">
          <w:rPr>
            <w:webHidden/>
          </w:rPr>
          <w:instrText xml:space="preserve"> PAGEREF _Toc375231200 \h </w:instrText>
        </w:r>
        <w:r w:rsidR="00791B9C">
          <w:rPr>
            <w:webHidden/>
          </w:rPr>
        </w:r>
        <w:r w:rsidR="00791B9C">
          <w:rPr>
            <w:webHidden/>
          </w:rPr>
          <w:fldChar w:fldCharType="separate"/>
        </w:r>
        <w:r w:rsidR="00791B9C">
          <w:rPr>
            <w:webHidden/>
          </w:rPr>
          <w:t>18</w:t>
        </w:r>
        <w:r w:rsidR="00791B9C">
          <w:rPr>
            <w:webHidden/>
          </w:rPr>
          <w:fldChar w:fldCharType="end"/>
        </w:r>
      </w:hyperlink>
    </w:p>
    <w:p w14:paraId="2BCAB600" w14:textId="77777777" w:rsidR="00791B9C" w:rsidRDefault="0036768F">
      <w:pPr>
        <w:pStyle w:val="TOC1"/>
        <w:rPr>
          <w:rFonts w:asciiTheme="minorHAnsi" w:eastAsiaTheme="minorEastAsia" w:hAnsiTheme="minorHAnsi" w:cstheme="minorBidi"/>
          <w:caps w:val="0"/>
          <w:szCs w:val="22"/>
        </w:rPr>
      </w:pPr>
      <w:hyperlink w:anchor="_Toc375231201" w:history="1">
        <w:r w:rsidR="00791B9C" w:rsidRPr="009A4CA8">
          <w:rPr>
            <w:rStyle w:val="Hyperlink"/>
          </w:rPr>
          <w:t>4</w:t>
        </w:r>
        <w:r w:rsidR="00791B9C">
          <w:rPr>
            <w:rFonts w:asciiTheme="minorHAnsi" w:eastAsiaTheme="minorEastAsia" w:hAnsiTheme="minorHAnsi" w:cstheme="minorBidi"/>
            <w:caps w:val="0"/>
            <w:szCs w:val="22"/>
          </w:rPr>
          <w:tab/>
        </w:r>
        <w:r w:rsidR="00791B9C" w:rsidRPr="009A4CA8">
          <w:rPr>
            <w:rStyle w:val="Hyperlink"/>
          </w:rPr>
          <w:t>REGULATORY REQUIREMENTS</w:t>
        </w:r>
        <w:r w:rsidR="00791B9C">
          <w:rPr>
            <w:webHidden/>
          </w:rPr>
          <w:tab/>
        </w:r>
        <w:r w:rsidR="00791B9C">
          <w:rPr>
            <w:webHidden/>
          </w:rPr>
          <w:fldChar w:fldCharType="begin"/>
        </w:r>
        <w:r w:rsidR="00791B9C">
          <w:rPr>
            <w:webHidden/>
          </w:rPr>
          <w:instrText xml:space="preserve"> PAGEREF _Toc375231201 \h </w:instrText>
        </w:r>
        <w:r w:rsidR="00791B9C">
          <w:rPr>
            <w:webHidden/>
          </w:rPr>
        </w:r>
        <w:r w:rsidR="00791B9C">
          <w:rPr>
            <w:webHidden/>
          </w:rPr>
          <w:fldChar w:fldCharType="separate"/>
        </w:r>
        <w:r w:rsidR="00791B9C">
          <w:rPr>
            <w:webHidden/>
          </w:rPr>
          <w:t>19</w:t>
        </w:r>
        <w:r w:rsidR="00791B9C">
          <w:rPr>
            <w:webHidden/>
          </w:rPr>
          <w:fldChar w:fldCharType="end"/>
        </w:r>
      </w:hyperlink>
    </w:p>
    <w:p w14:paraId="1AB4E20A" w14:textId="77777777" w:rsidR="00791B9C" w:rsidRDefault="0036768F">
      <w:pPr>
        <w:pStyle w:val="TOC2"/>
        <w:rPr>
          <w:rFonts w:asciiTheme="minorHAnsi" w:hAnsiTheme="minorHAnsi"/>
        </w:rPr>
      </w:pPr>
      <w:hyperlink w:anchor="_Toc375231202" w:history="1">
        <w:r w:rsidR="00791B9C" w:rsidRPr="009A4CA8">
          <w:rPr>
            <w:rStyle w:val="Hyperlink"/>
          </w:rPr>
          <w:t>4.1</w:t>
        </w:r>
        <w:r w:rsidR="00791B9C">
          <w:rPr>
            <w:rFonts w:asciiTheme="minorHAnsi" w:hAnsiTheme="minorHAnsi"/>
          </w:rPr>
          <w:tab/>
        </w:r>
        <w:r w:rsidR="00791B9C" w:rsidRPr="009A4CA8">
          <w:rPr>
            <w:rStyle w:val="Hyperlink"/>
          </w:rPr>
          <w:t>Institutional Review Board (IRB)</w:t>
        </w:r>
        <w:r w:rsidR="00791B9C">
          <w:rPr>
            <w:webHidden/>
          </w:rPr>
          <w:tab/>
        </w:r>
        <w:r w:rsidR="00791B9C">
          <w:rPr>
            <w:webHidden/>
          </w:rPr>
          <w:fldChar w:fldCharType="begin"/>
        </w:r>
        <w:r w:rsidR="00791B9C">
          <w:rPr>
            <w:webHidden/>
          </w:rPr>
          <w:instrText xml:space="preserve"> PAGEREF _Toc375231202 \h </w:instrText>
        </w:r>
        <w:r w:rsidR="00791B9C">
          <w:rPr>
            <w:webHidden/>
          </w:rPr>
        </w:r>
        <w:r w:rsidR="00791B9C">
          <w:rPr>
            <w:webHidden/>
          </w:rPr>
          <w:fldChar w:fldCharType="separate"/>
        </w:r>
        <w:r w:rsidR="00791B9C">
          <w:rPr>
            <w:webHidden/>
          </w:rPr>
          <w:t>19</w:t>
        </w:r>
        <w:r w:rsidR="00791B9C">
          <w:rPr>
            <w:webHidden/>
          </w:rPr>
          <w:fldChar w:fldCharType="end"/>
        </w:r>
      </w:hyperlink>
    </w:p>
    <w:p w14:paraId="28504A6A" w14:textId="77777777" w:rsidR="00791B9C" w:rsidRDefault="0036768F">
      <w:pPr>
        <w:pStyle w:val="TOC2"/>
        <w:rPr>
          <w:rFonts w:asciiTheme="minorHAnsi" w:hAnsiTheme="minorHAnsi"/>
        </w:rPr>
      </w:pPr>
      <w:hyperlink w:anchor="_Toc375231203" w:history="1">
        <w:r w:rsidR="00791B9C" w:rsidRPr="009A4CA8">
          <w:rPr>
            <w:rStyle w:val="Hyperlink"/>
          </w:rPr>
          <w:t>4.2</w:t>
        </w:r>
        <w:r w:rsidR="00791B9C">
          <w:rPr>
            <w:rFonts w:asciiTheme="minorHAnsi" w:hAnsiTheme="minorHAnsi"/>
          </w:rPr>
          <w:tab/>
        </w:r>
        <w:r w:rsidR="00791B9C" w:rsidRPr="009A4CA8">
          <w:rPr>
            <w:rStyle w:val="Hyperlink"/>
          </w:rPr>
          <w:t>Submission of Other Applications/Request /Information</w:t>
        </w:r>
        <w:r w:rsidR="00791B9C">
          <w:rPr>
            <w:webHidden/>
          </w:rPr>
          <w:tab/>
        </w:r>
        <w:r w:rsidR="00791B9C">
          <w:rPr>
            <w:webHidden/>
          </w:rPr>
          <w:fldChar w:fldCharType="begin"/>
        </w:r>
        <w:r w:rsidR="00791B9C">
          <w:rPr>
            <w:webHidden/>
          </w:rPr>
          <w:instrText xml:space="preserve"> PAGEREF _Toc375231203 \h </w:instrText>
        </w:r>
        <w:r w:rsidR="00791B9C">
          <w:rPr>
            <w:webHidden/>
          </w:rPr>
        </w:r>
        <w:r w:rsidR="00791B9C">
          <w:rPr>
            <w:webHidden/>
          </w:rPr>
          <w:fldChar w:fldCharType="separate"/>
        </w:r>
        <w:r w:rsidR="00791B9C">
          <w:rPr>
            <w:webHidden/>
          </w:rPr>
          <w:t>19</w:t>
        </w:r>
        <w:r w:rsidR="00791B9C">
          <w:rPr>
            <w:webHidden/>
          </w:rPr>
          <w:fldChar w:fldCharType="end"/>
        </w:r>
      </w:hyperlink>
    </w:p>
    <w:p w14:paraId="2B438180" w14:textId="77777777" w:rsidR="00791B9C" w:rsidRDefault="0036768F">
      <w:pPr>
        <w:pStyle w:val="TOC3"/>
        <w:rPr>
          <w:rFonts w:asciiTheme="minorHAnsi" w:hAnsiTheme="minorHAnsi"/>
        </w:rPr>
      </w:pPr>
      <w:hyperlink w:anchor="_Toc375231204" w:history="1">
        <w:r w:rsidR="00791B9C" w:rsidRPr="009A4CA8">
          <w:rPr>
            <w:rStyle w:val="Hyperlink"/>
          </w:rPr>
          <w:t>4.2.1</w:t>
        </w:r>
        <w:r w:rsidR="00791B9C">
          <w:rPr>
            <w:rFonts w:asciiTheme="minorHAnsi" w:hAnsiTheme="minorHAnsi"/>
          </w:rPr>
          <w:tab/>
        </w:r>
        <w:r w:rsidR="00791B9C" w:rsidRPr="009A4CA8">
          <w:rPr>
            <w:rStyle w:val="Hyperlink"/>
          </w:rPr>
          <w:t>Certificate of Confidentiality</w:t>
        </w:r>
        <w:r w:rsidR="00791B9C">
          <w:rPr>
            <w:webHidden/>
          </w:rPr>
          <w:tab/>
        </w:r>
        <w:r w:rsidR="00791B9C">
          <w:rPr>
            <w:webHidden/>
          </w:rPr>
          <w:fldChar w:fldCharType="begin"/>
        </w:r>
        <w:r w:rsidR="00791B9C">
          <w:rPr>
            <w:webHidden/>
          </w:rPr>
          <w:instrText xml:space="preserve"> PAGEREF _Toc375231204 \h </w:instrText>
        </w:r>
        <w:r w:rsidR="00791B9C">
          <w:rPr>
            <w:webHidden/>
          </w:rPr>
        </w:r>
        <w:r w:rsidR="00791B9C">
          <w:rPr>
            <w:webHidden/>
          </w:rPr>
          <w:fldChar w:fldCharType="separate"/>
        </w:r>
        <w:r w:rsidR="00791B9C">
          <w:rPr>
            <w:webHidden/>
          </w:rPr>
          <w:t>19</w:t>
        </w:r>
        <w:r w:rsidR="00791B9C">
          <w:rPr>
            <w:webHidden/>
          </w:rPr>
          <w:fldChar w:fldCharType="end"/>
        </w:r>
      </w:hyperlink>
    </w:p>
    <w:p w14:paraId="57CBDFCB" w14:textId="77777777" w:rsidR="00791B9C" w:rsidRDefault="0036768F">
      <w:pPr>
        <w:pStyle w:val="TOC3"/>
        <w:rPr>
          <w:rFonts w:asciiTheme="minorHAnsi" w:hAnsiTheme="minorHAnsi"/>
        </w:rPr>
      </w:pPr>
      <w:hyperlink w:anchor="_Toc375231205" w:history="1">
        <w:r w:rsidR="00791B9C" w:rsidRPr="009A4CA8">
          <w:rPr>
            <w:rStyle w:val="Hyperlink"/>
          </w:rPr>
          <w:t>4.2.2</w:t>
        </w:r>
        <w:r w:rsidR="00791B9C">
          <w:rPr>
            <w:rFonts w:asciiTheme="minorHAnsi" w:hAnsiTheme="minorHAnsi"/>
          </w:rPr>
          <w:tab/>
        </w:r>
        <w:r w:rsidR="00791B9C" w:rsidRPr="009A4CA8">
          <w:rPr>
            <w:rStyle w:val="Hyperlink"/>
          </w:rPr>
          <w:t>Investigational New Drug Application (IND) or Investigational Device Exemption (IDE)</w:t>
        </w:r>
        <w:r w:rsidR="00791B9C">
          <w:rPr>
            <w:webHidden/>
          </w:rPr>
          <w:tab/>
        </w:r>
        <w:r w:rsidR="00791B9C">
          <w:rPr>
            <w:webHidden/>
          </w:rPr>
          <w:fldChar w:fldCharType="begin"/>
        </w:r>
        <w:r w:rsidR="00791B9C">
          <w:rPr>
            <w:webHidden/>
          </w:rPr>
          <w:instrText xml:space="preserve"> PAGEREF _Toc375231205 \h </w:instrText>
        </w:r>
        <w:r w:rsidR="00791B9C">
          <w:rPr>
            <w:webHidden/>
          </w:rPr>
        </w:r>
        <w:r w:rsidR="00791B9C">
          <w:rPr>
            <w:webHidden/>
          </w:rPr>
          <w:fldChar w:fldCharType="separate"/>
        </w:r>
        <w:r w:rsidR="00791B9C">
          <w:rPr>
            <w:webHidden/>
          </w:rPr>
          <w:t>20</w:t>
        </w:r>
        <w:r w:rsidR="00791B9C">
          <w:rPr>
            <w:webHidden/>
          </w:rPr>
          <w:fldChar w:fldCharType="end"/>
        </w:r>
      </w:hyperlink>
    </w:p>
    <w:p w14:paraId="435555D9" w14:textId="77777777" w:rsidR="00791B9C" w:rsidRDefault="0036768F">
      <w:pPr>
        <w:pStyle w:val="TOC3"/>
        <w:rPr>
          <w:rFonts w:asciiTheme="minorHAnsi" w:hAnsiTheme="minorHAnsi"/>
        </w:rPr>
      </w:pPr>
      <w:hyperlink w:anchor="_Toc375231206" w:history="1">
        <w:r w:rsidR="00791B9C" w:rsidRPr="009A4CA8">
          <w:rPr>
            <w:rStyle w:val="Hyperlink"/>
          </w:rPr>
          <w:t>4.2.3</w:t>
        </w:r>
        <w:r w:rsidR="00791B9C">
          <w:rPr>
            <w:rFonts w:asciiTheme="minorHAnsi" w:hAnsiTheme="minorHAnsi"/>
          </w:rPr>
          <w:tab/>
        </w:r>
        <w:r w:rsidR="00791B9C" w:rsidRPr="009A4CA8">
          <w:rPr>
            <w:rStyle w:val="Hyperlink"/>
          </w:rPr>
          <w:t>ClinicalTrials.gov</w:t>
        </w:r>
        <w:r w:rsidR="00791B9C">
          <w:rPr>
            <w:webHidden/>
          </w:rPr>
          <w:tab/>
        </w:r>
        <w:r w:rsidR="00791B9C">
          <w:rPr>
            <w:webHidden/>
          </w:rPr>
          <w:fldChar w:fldCharType="begin"/>
        </w:r>
        <w:r w:rsidR="00791B9C">
          <w:rPr>
            <w:webHidden/>
          </w:rPr>
          <w:instrText xml:space="preserve"> PAGEREF _Toc375231206 \h </w:instrText>
        </w:r>
        <w:r w:rsidR="00791B9C">
          <w:rPr>
            <w:webHidden/>
          </w:rPr>
        </w:r>
        <w:r w:rsidR="00791B9C">
          <w:rPr>
            <w:webHidden/>
          </w:rPr>
          <w:fldChar w:fldCharType="separate"/>
        </w:r>
        <w:r w:rsidR="00791B9C">
          <w:rPr>
            <w:webHidden/>
          </w:rPr>
          <w:t>20</w:t>
        </w:r>
        <w:r w:rsidR="00791B9C">
          <w:rPr>
            <w:webHidden/>
          </w:rPr>
          <w:fldChar w:fldCharType="end"/>
        </w:r>
      </w:hyperlink>
    </w:p>
    <w:p w14:paraId="3BCB3D46" w14:textId="77777777" w:rsidR="00791B9C" w:rsidRDefault="0036768F">
      <w:pPr>
        <w:pStyle w:val="TOC2"/>
        <w:rPr>
          <w:rFonts w:asciiTheme="minorHAnsi" w:hAnsiTheme="minorHAnsi"/>
        </w:rPr>
      </w:pPr>
      <w:hyperlink w:anchor="_Toc375231207" w:history="1">
        <w:r w:rsidR="00791B9C" w:rsidRPr="009A4CA8">
          <w:rPr>
            <w:rStyle w:val="Hyperlink"/>
          </w:rPr>
          <w:t>4.3</w:t>
        </w:r>
        <w:r w:rsidR="00791B9C">
          <w:rPr>
            <w:rFonts w:asciiTheme="minorHAnsi" w:hAnsiTheme="minorHAnsi"/>
          </w:rPr>
          <w:tab/>
        </w:r>
        <w:r w:rsidR="00791B9C" w:rsidRPr="009A4CA8">
          <w:rPr>
            <w:rStyle w:val="Hyperlink"/>
          </w:rPr>
          <w:t>Essential Documents</w:t>
        </w:r>
        <w:r w:rsidR="00791B9C">
          <w:rPr>
            <w:webHidden/>
          </w:rPr>
          <w:tab/>
        </w:r>
        <w:r w:rsidR="00791B9C">
          <w:rPr>
            <w:webHidden/>
          </w:rPr>
          <w:fldChar w:fldCharType="begin"/>
        </w:r>
        <w:r w:rsidR="00791B9C">
          <w:rPr>
            <w:webHidden/>
          </w:rPr>
          <w:instrText xml:space="preserve"> PAGEREF _Toc375231207 \h </w:instrText>
        </w:r>
        <w:r w:rsidR="00791B9C">
          <w:rPr>
            <w:webHidden/>
          </w:rPr>
        </w:r>
        <w:r w:rsidR="00791B9C">
          <w:rPr>
            <w:webHidden/>
          </w:rPr>
          <w:fldChar w:fldCharType="separate"/>
        </w:r>
        <w:r w:rsidR="00791B9C">
          <w:rPr>
            <w:webHidden/>
          </w:rPr>
          <w:t>21</w:t>
        </w:r>
        <w:r w:rsidR="00791B9C">
          <w:rPr>
            <w:webHidden/>
          </w:rPr>
          <w:fldChar w:fldCharType="end"/>
        </w:r>
      </w:hyperlink>
    </w:p>
    <w:p w14:paraId="7EFA7F4B" w14:textId="77777777" w:rsidR="00791B9C" w:rsidRDefault="0036768F">
      <w:pPr>
        <w:pStyle w:val="TOC1"/>
        <w:rPr>
          <w:rFonts w:asciiTheme="minorHAnsi" w:eastAsiaTheme="minorEastAsia" w:hAnsiTheme="minorHAnsi" w:cstheme="minorBidi"/>
          <w:caps w:val="0"/>
          <w:szCs w:val="22"/>
        </w:rPr>
      </w:pPr>
      <w:hyperlink w:anchor="_Toc375231208" w:history="1">
        <w:r w:rsidR="00791B9C" w:rsidRPr="009A4CA8">
          <w:rPr>
            <w:rStyle w:val="Hyperlink"/>
          </w:rPr>
          <w:t>5</w:t>
        </w:r>
        <w:r w:rsidR="00791B9C">
          <w:rPr>
            <w:rFonts w:asciiTheme="minorHAnsi" w:eastAsiaTheme="minorEastAsia" w:hAnsiTheme="minorHAnsi" w:cstheme="minorBidi"/>
            <w:caps w:val="0"/>
            <w:szCs w:val="22"/>
          </w:rPr>
          <w:tab/>
        </w:r>
        <w:r w:rsidR="00791B9C" w:rsidRPr="009A4CA8">
          <w:rPr>
            <w:rStyle w:val="Hyperlink"/>
          </w:rPr>
          <w:t>SUBJECT SAFETY OVERSIGHT</w:t>
        </w:r>
        <w:r w:rsidR="00791B9C">
          <w:rPr>
            <w:webHidden/>
          </w:rPr>
          <w:tab/>
        </w:r>
        <w:r w:rsidR="00791B9C">
          <w:rPr>
            <w:webHidden/>
          </w:rPr>
          <w:fldChar w:fldCharType="begin"/>
        </w:r>
        <w:r w:rsidR="00791B9C">
          <w:rPr>
            <w:webHidden/>
          </w:rPr>
          <w:instrText xml:space="preserve"> PAGEREF _Toc375231208 \h </w:instrText>
        </w:r>
        <w:r w:rsidR="00791B9C">
          <w:rPr>
            <w:webHidden/>
          </w:rPr>
        </w:r>
        <w:r w:rsidR="00791B9C">
          <w:rPr>
            <w:webHidden/>
          </w:rPr>
          <w:fldChar w:fldCharType="separate"/>
        </w:r>
        <w:r w:rsidR="00791B9C">
          <w:rPr>
            <w:webHidden/>
          </w:rPr>
          <w:t>22</w:t>
        </w:r>
        <w:r w:rsidR="00791B9C">
          <w:rPr>
            <w:webHidden/>
          </w:rPr>
          <w:fldChar w:fldCharType="end"/>
        </w:r>
      </w:hyperlink>
    </w:p>
    <w:p w14:paraId="6AF24A6B" w14:textId="77777777" w:rsidR="00791B9C" w:rsidRDefault="0036768F">
      <w:pPr>
        <w:pStyle w:val="TOC2"/>
        <w:rPr>
          <w:rFonts w:asciiTheme="minorHAnsi" w:hAnsiTheme="minorHAnsi"/>
        </w:rPr>
      </w:pPr>
      <w:hyperlink w:anchor="_Toc375231209" w:history="1">
        <w:r w:rsidR="00791B9C" w:rsidRPr="009A4CA8">
          <w:rPr>
            <w:rStyle w:val="Hyperlink"/>
          </w:rPr>
          <w:t>5.1</w:t>
        </w:r>
        <w:r w:rsidR="00791B9C">
          <w:rPr>
            <w:rFonts w:asciiTheme="minorHAnsi" w:hAnsiTheme="minorHAnsi"/>
          </w:rPr>
          <w:tab/>
        </w:r>
        <w:r w:rsidR="00791B9C" w:rsidRPr="009A4CA8">
          <w:rPr>
            <w:rStyle w:val="Hyperlink"/>
          </w:rPr>
          <w:t>Safety Monitoring Plan (SMP)</w:t>
        </w:r>
        <w:r w:rsidR="00791B9C">
          <w:rPr>
            <w:webHidden/>
          </w:rPr>
          <w:tab/>
        </w:r>
        <w:r w:rsidR="00791B9C">
          <w:rPr>
            <w:webHidden/>
          </w:rPr>
          <w:fldChar w:fldCharType="begin"/>
        </w:r>
        <w:r w:rsidR="00791B9C">
          <w:rPr>
            <w:webHidden/>
          </w:rPr>
          <w:instrText xml:space="preserve"> PAGEREF _Toc375231209 \h </w:instrText>
        </w:r>
        <w:r w:rsidR="00791B9C">
          <w:rPr>
            <w:webHidden/>
          </w:rPr>
        </w:r>
        <w:r w:rsidR="00791B9C">
          <w:rPr>
            <w:webHidden/>
          </w:rPr>
          <w:fldChar w:fldCharType="separate"/>
        </w:r>
        <w:r w:rsidR="00791B9C">
          <w:rPr>
            <w:webHidden/>
          </w:rPr>
          <w:t>22</w:t>
        </w:r>
        <w:r w:rsidR="00791B9C">
          <w:rPr>
            <w:webHidden/>
          </w:rPr>
          <w:fldChar w:fldCharType="end"/>
        </w:r>
      </w:hyperlink>
    </w:p>
    <w:p w14:paraId="6C1DD38B" w14:textId="77777777" w:rsidR="00791B9C" w:rsidRDefault="0036768F">
      <w:pPr>
        <w:pStyle w:val="TOC1"/>
        <w:rPr>
          <w:rFonts w:asciiTheme="minorHAnsi" w:eastAsiaTheme="minorEastAsia" w:hAnsiTheme="minorHAnsi" w:cstheme="minorBidi"/>
          <w:caps w:val="0"/>
          <w:szCs w:val="22"/>
        </w:rPr>
      </w:pPr>
      <w:hyperlink w:anchor="_Toc375231210" w:history="1">
        <w:r w:rsidR="00791B9C" w:rsidRPr="009A4CA8">
          <w:rPr>
            <w:rStyle w:val="Hyperlink"/>
          </w:rPr>
          <w:t>6</w:t>
        </w:r>
        <w:r w:rsidR="00791B9C">
          <w:rPr>
            <w:rFonts w:asciiTheme="minorHAnsi" w:eastAsiaTheme="minorEastAsia" w:hAnsiTheme="minorHAnsi" w:cstheme="minorBidi"/>
            <w:caps w:val="0"/>
            <w:szCs w:val="22"/>
          </w:rPr>
          <w:tab/>
        </w:r>
        <w:r w:rsidR="00791B9C" w:rsidRPr="009A4CA8">
          <w:rPr>
            <w:rStyle w:val="Hyperlink"/>
          </w:rPr>
          <w:t>DATA AND QUALITY MANAGEMENT</w:t>
        </w:r>
        <w:r w:rsidR="00791B9C">
          <w:rPr>
            <w:webHidden/>
          </w:rPr>
          <w:tab/>
        </w:r>
        <w:r w:rsidR="00791B9C">
          <w:rPr>
            <w:webHidden/>
          </w:rPr>
          <w:fldChar w:fldCharType="begin"/>
        </w:r>
        <w:r w:rsidR="00791B9C">
          <w:rPr>
            <w:webHidden/>
          </w:rPr>
          <w:instrText xml:space="preserve"> PAGEREF _Toc375231210 \h </w:instrText>
        </w:r>
        <w:r w:rsidR="00791B9C">
          <w:rPr>
            <w:webHidden/>
          </w:rPr>
        </w:r>
        <w:r w:rsidR="00791B9C">
          <w:rPr>
            <w:webHidden/>
          </w:rPr>
          <w:fldChar w:fldCharType="separate"/>
        </w:r>
        <w:r w:rsidR="00791B9C">
          <w:rPr>
            <w:webHidden/>
          </w:rPr>
          <w:t>22</w:t>
        </w:r>
        <w:r w:rsidR="00791B9C">
          <w:rPr>
            <w:webHidden/>
          </w:rPr>
          <w:fldChar w:fldCharType="end"/>
        </w:r>
      </w:hyperlink>
    </w:p>
    <w:p w14:paraId="4F497242" w14:textId="77777777" w:rsidR="00791B9C" w:rsidRDefault="0036768F">
      <w:pPr>
        <w:pStyle w:val="TOC2"/>
        <w:rPr>
          <w:rFonts w:asciiTheme="minorHAnsi" w:hAnsiTheme="minorHAnsi"/>
        </w:rPr>
      </w:pPr>
      <w:hyperlink w:anchor="_Toc375231211" w:history="1">
        <w:r w:rsidR="00791B9C" w:rsidRPr="009A4CA8">
          <w:rPr>
            <w:rStyle w:val="Hyperlink"/>
          </w:rPr>
          <w:t>6.1</w:t>
        </w:r>
        <w:r w:rsidR="00791B9C">
          <w:rPr>
            <w:rFonts w:asciiTheme="minorHAnsi" w:hAnsiTheme="minorHAnsi"/>
          </w:rPr>
          <w:tab/>
        </w:r>
        <w:r w:rsidR="00791B9C" w:rsidRPr="009A4CA8">
          <w:rPr>
            <w:rStyle w:val="Hyperlink"/>
          </w:rPr>
          <w:t>Data Collection Tools</w:t>
        </w:r>
        <w:r w:rsidR="00791B9C">
          <w:rPr>
            <w:webHidden/>
          </w:rPr>
          <w:tab/>
        </w:r>
        <w:r w:rsidR="00791B9C">
          <w:rPr>
            <w:webHidden/>
          </w:rPr>
          <w:fldChar w:fldCharType="begin"/>
        </w:r>
        <w:r w:rsidR="00791B9C">
          <w:rPr>
            <w:webHidden/>
          </w:rPr>
          <w:instrText xml:space="preserve"> PAGEREF _Toc375231211 \h </w:instrText>
        </w:r>
        <w:r w:rsidR="00791B9C">
          <w:rPr>
            <w:webHidden/>
          </w:rPr>
        </w:r>
        <w:r w:rsidR="00791B9C">
          <w:rPr>
            <w:webHidden/>
          </w:rPr>
          <w:fldChar w:fldCharType="separate"/>
        </w:r>
        <w:r w:rsidR="00791B9C">
          <w:rPr>
            <w:webHidden/>
          </w:rPr>
          <w:t>22</w:t>
        </w:r>
        <w:r w:rsidR="00791B9C">
          <w:rPr>
            <w:webHidden/>
          </w:rPr>
          <w:fldChar w:fldCharType="end"/>
        </w:r>
      </w:hyperlink>
    </w:p>
    <w:p w14:paraId="4FB12412" w14:textId="77777777" w:rsidR="00791B9C" w:rsidRDefault="0036768F">
      <w:pPr>
        <w:pStyle w:val="TOC2"/>
        <w:rPr>
          <w:rFonts w:asciiTheme="minorHAnsi" w:hAnsiTheme="minorHAnsi"/>
        </w:rPr>
      </w:pPr>
      <w:hyperlink w:anchor="_Toc375231212" w:history="1">
        <w:r w:rsidR="00791B9C" w:rsidRPr="009A4CA8">
          <w:rPr>
            <w:rStyle w:val="Hyperlink"/>
          </w:rPr>
          <w:t>6.2</w:t>
        </w:r>
        <w:r w:rsidR="00791B9C">
          <w:rPr>
            <w:rFonts w:asciiTheme="minorHAnsi" w:hAnsiTheme="minorHAnsi"/>
          </w:rPr>
          <w:tab/>
        </w:r>
        <w:r w:rsidR="00791B9C" w:rsidRPr="009A4CA8">
          <w:rPr>
            <w:rStyle w:val="Hyperlink"/>
          </w:rPr>
          <w:t>Clinical Data Management Plan</w:t>
        </w:r>
        <w:r w:rsidR="00791B9C">
          <w:rPr>
            <w:webHidden/>
          </w:rPr>
          <w:tab/>
        </w:r>
        <w:r w:rsidR="00791B9C">
          <w:rPr>
            <w:webHidden/>
          </w:rPr>
          <w:fldChar w:fldCharType="begin"/>
        </w:r>
        <w:r w:rsidR="00791B9C">
          <w:rPr>
            <w:webHidden/>
          </w:rPr>
          <w:instrText xml:space="preserve"> PAGEREF _Toc375231212 \h </w:instrText>
        </w:r>
        <w:r w:rsidR="00791B9C">
          <w:rPr>
            <w:webHidden/>
          </w:rPr>
        </w:r>
        <w:r w:rsidR="00791B9C">
          <w:rPr>
            <w:webHidden/>
          </w:rPr>
          <w:fldChar w:fldCharType="separate"/>
        </w:r>
        <w:r w:rsidR="00791B9C">
          <w:rPr>
            <w:webHidden/>
          </w:rPr>
          <w:t>23</w:t>
        </w:r>
        <w:r w:rsidR="00791B9C">
          <w:rPr>
            <w:webHidden/>
          </w:rPr>
          <w:fldChar w:fldCharType="end"/>
        </w:r>
      </w:hyperlink>
    </w:p>
    <w:p w14:paraId="59C19510" w14:textId="77777777" w:rsidR="00791B9C" w:rsidRDefault="0036768F">
      <w:pPr>
        <w:pStyle w:val="TOC2"/>
        <w:rPr>
          <w:rFonts w:asciiTheme="minorHAnsi" w:hAnsiTheme="minorHAnsi"/>
        </w:rPr>
      </w:pPr>
      <w:hyperlink w:anchor="_Toc375231213" w:history="1">
        <w:r w:rsidR="00791B9C" w:rsidRPr="009A4CA8">
          <w:rPr>
            <w:rStyle w:val="Hyperlink"/>
          </w:rPr>
          <w:t>6.3</w:t>
        </w:r>
        <w:r w:rsidR="00791B9C">
          <w:rPr>
            <w:rFonts w:asciiTheme="minorHAnsi" w:hAnsiTheme="minorHAnsi"/>
          </w:rPr>
          <w:tab/>
        </w:r>
        <w:r w:rsidR="00791B9C" w:rsidRPr="009A4CA8">
          <w:rPr>
            <w:rStyle w:val="Hyperlink"/>
          </w:rPr>
          <w:t>Statistical Analysis Planning</w:t>
        </w:r>
        <w:r w:rsidR="00791B9C">
          <w:rPr>
            <w:webHidden/>
          </w:rPr>
          <w:tab/>
        </w:r>
        <w:r w:rsidR="00791B9C">
          <w:rPr>
            <w:webHidden/>
          </w:rPr>
          <w:fldChar w:fldCharType="begin"/>
        </w:r>
        <w:r w:rsidR="00791B9C">
          <w:rPr>
            <w:webHidden/>
          </w:rPr>
          <w:instrText xml:space="preserve"> PAGEREF _Toc375231213 \h </w:instrText>
        </w:r>
        <w:r w:rsidR="00791B9C">
          <w:rPr>
            <w:webHidden/>
          </w:rPr>
        </w:r>
        <w:r w:rsidR="00791B9C">
          <w:rPr>
            <w:webHidden/>
          </w:rPr>
          <w:fldChar w:fldCharType="separate"/>
        </w:r>
        <w:r w:rsidR="00791B9C">
          <w:rPr>
            <w:webHidden/>
          </w:rPr>
          <w:t>23</w:t>
        </w:r>
        <w:r w:rsidR="00791B9C">
          <w:rPr>
            <w:webHidden/>
          </w:rPr>
          <w:fldChar w:fldCharType="end"/>
        </w:r>
      </w:hyperlink>
    </w:p>
    <w:p w14:paraId="72806E70" w14:textId="77777777" w:rsidR="00791B9C" w:rsidRDefault="0036768F">
      <w:pPr>
        <w:pStyle w:val="TOC2"/>
        <w:rPr>
          <w:rFonts w:asciiTheme="minorHAnsi" w:hAnsiTheme="minorHAnsi"/>
        </w:rPr>
      </w:pPr>
      <w:hyperlink w:anchor="_Toc375231214" w:history="1">
        <w:r w:rsidR="00791B9C" w:rsidRPr="009A4CA8">
          <w:rPr>
            <w:rStyle w:val="Hyperlink"/>
          </w:rPr>
          <w:t>6.4</w:t>
        </w:r>
        <w:r w:rsidR="00791B9C">
          <w:rPr>
            <w:rFonts w:asciiTheme="minorHAnsi" w:hAnsiTheme="minorHAnsi"/>
          </w:rPr>
          <w:tab/>
        </w:r>
        <w:r w:rsidR="00791B9C" w:rsidRPr="009A4CA8">
          <w:rPr>
            <w:rStyle w:val="Hyperlink"/>
          </w:rPr>
          <w:t>Quality Management Plan (QMP)</w:t>
        </w:r>
        <w:r w:rsidR="00791B9C">
          <w:rPr>
            <w:webHidden/>
          </w:rPr>
          <w:tab/>
        </w:r>
        <w:r w:rsidR="00791B9C">
          <w:rPr>
            <w:webHidden/>
          </w:rPr>
          <w:fldChar w:fldCharType="begin"/>
        </w:r>
        <w:r w:rsidR="00791B9C">
          <w:rPr>
            <w:webHidden/>
          </w:rPr>
          <w:instrText xml:space="preserve"> PAGEREF _Toc375231214 \h </w:instrText>
        </w:r>
        <w:r w:rsidR="00791B9C">
          <w:rPr>
            <w:webHidden/>
          </w:rPr>
        </w:r>
        <w:r w:rsidR="00791B9C">
          <w:rPr>
            <w:webHidden/>
          </w:rPr>
          <w:fldChar w:fldCharType="separate"/>
        </w:r>
        <w:r w:rsidR="00791B9C">
          <w:rPr>
            <w:webHidden/>
          </w:rPr>
          <w:t>24</w:t>
        </w:r>
        <w:r w:rsidR="00791B9C">
          <w:rPr>
            <w:webHidden/>
          </w:rPr>
          <w:fldChar w:fldCharType="end"/>
        </w:r>
      </w:hyperlink>
    </w:p>
    <w:p w14:paraId="4419A08B" w14:textId="77777777" w:rsidR="00791B9C" w:rsidRDefault="0036768F">
      <w:pPr>
        <w:pStyle w:val="TOC1"/>
        <w:rPr>
          <w:rFonts w:asciiTheme="minorHAnsi" w:eastAsiaTheme="minorEastAsia" w:hAnsiTheme="minorHAnsi" w:cstheme="minorBidi"/>
          <w:caps w:val="0"/>
          <w:szCs w:val="22"/>
        </w:rPr>
      </w:pPr>
      <w:hyperlink w:anchor="_Toc375231215" w:history="1">
        <w:r w:rsidR="00791B9C" w:rsidRPr="009A4CA8">
          <w:rPr>
            <w:rStyle w:val="Hyperlink"/>
          </w:rPr>
          <w:t>7</w:t>
        </w:r>
        <w:r w:rsidR="00791B9C">
          <w:rPr>
            <w:rFonts w:asciiTheme="minorHAnsi" w:eastAsiaTheme="minorEastAsia" w:hAnsiTheme="minorHAnsi" w:cstheme="minorBidi"/>
            <w:caps w:val="0"/>
            <w:szCs w:val="22"/>
          </w:rPr>
          <w:tab/>
        </w:r>
        <w:r w:rsidR="00791B9C" w:rsidRPr="009A4CA8">
          <w:rPr>
            <w:rStyle w:val="Hyperlink"/>
          </w:rPr>
          <w:t>SPECIMEN AND MATERIALS MANAGEMENT</w:t>
        </w:r>
        <w:r w:rsidR="00791B9C">
          <w:rPr>
            <w:webHidden/>
          </w:rPr>
          <w:tab/>
        </w:r>
        <w:r w:rsidR="00791B9C">
          <w:rPr>
            <w:webHidden/>
          </w:rPr>
          <w:fldChar w:fldCharType="begin"/>
        </w:r>
        <w:r w:rsidR="00791B9C">
          <w:rPr>
            <w:webHidden/>
          </w:rPr>
          <w:instrText xml:space="preserve"> PAGEREF _Toc375231215 \h </w:instrText>
        </w:r>
        <w:r w:rsidR="00791B9C">
          <w:rPr>
            <w:webHidden/>
          </w:rPr>
        </w:r>
        <w:r w:rsidR="00791B9C">
          <w:rPr>
            <w:webHidden/>
          </w:rPr>
          <w:fldChar w:fldCharType="separate"/>
        </w:r>
        <w:r w:rsidR="00791B9C">
          <w:rPr>
            <w:webHidden/>
          </w:rPr>
          <w:t>25</w:t>
        </w:r>
        <w:r w:rsidR="00791B9C">
          <w:rPr>
            <w:webHidden/>
          </w:rPr>
          <w:fldChar w:fldCharType="end"/>
        </w:r>
      </w:hyperlink>
    </w:p>
    <w:p w14:paraId="2630D707" w14:textId="77777777" w:rsidR="00791B9C" w:rsidRDefault="0036768F">
      <w:pPr>
        <w:pStyle w:val="TOC2"/>
        <w:rPr>
          <w:rFonts w:asciiTheme="minorHAnsi" w:hAnsiTheme="minorHAnsi"/>
        </w:rPr>
      </w:pPr>
      <w:hyperlink w:anchor="_Toc375231216" w:history="1">
        <w:r w:rsidR="00791B9C" w:rsidRPr="009A4CA8">
          <w:rPr>
            <w:rStyle w:val="Hyperlink"/>
          </w:rPr>
          <w:t>7.1</w:t>
        </w:r>
        <w:r w:rsidR="00791B9C">
          <w:rPr>
            <w:rFonts w:asciiTheme="minorHAnsi" w:hAnsiTheme="minorHAnsi"/>
          </w:rPr>
          <w:tab/>
        </w:r>
        <w:r w:rsidR="00791B9C" w:rsidRPr="009A4CA8">
          <w:rPr>
            <w:rStyle w:val="Hyperlink"/>
          </w:rPr>
          <w:t>Specimen Handling and Tracking</w:t>
        </w:r>
        <w:r w:rsidR="00791B9C">
          <w:rPr>
            <w:webHidden/>
          </w:rPr>
          <w:tab/>
        </w:r>
        <w:r w:rsidR="00791B9C">
          <w:rPr>
            <w:webHidden/>
          </w:rPr>
          <w:fldChar w:fldCharType="begin"/>
        </w:r>
        <w:r w:rsidR="00791B9C">
          <w:rPr>
            <w:webHidden/>
          </w:rPr>
          <w:instrText xml:space="preserve"> PAGEREF _Toc375231216 \h </w:instrText>
        </w:r>
        <w:r w:rsidR="00791B9C">
          <w:rPr>
            <w:webHidden/>
          </w:rPr>
        </w:r>
        <w:r w:rsidR="00791B9C">
          <w:rPr>
            <w:webHidden/>
          </w:rPr>
          <w:fldChar w:fldCharType="separate"/>
        </w:r>
        <w:r w:rsidR="00791B9C">
          <w:rPr>
            <w:webHidden/>
          </w:rPr>
          <w:t>25</w:t>
        </w:r>
        <w:r w:rsidR="00791B9C">
          <w:rPr>
            <w:webHidden/>
          </w:rPr>
          <w:fldChar w:fldCharType="end"/>
        </w:r>
      </w:hyperlink>
    </w:p>
    <w:p w14:paraId="3AB5FBEA" w14:textId="77777777" w:rsidR="00791B9C" w:rsidRDefault="0036768F">
      <w:pPr>
        <w:pStyle w:val="TOC2"/>
        <w:rPr>
          <w:rFonts w:asciiTheme="minorHAnsi" w:hAnsiTheme="minorHAnsi"/>
        </w:rPr>
      </w:pPr>
      <w:hyperlink w:anchor="_Toc375231217" w:history="1">
        <w:r w:rsidR="00791B9C" w:rsidRPr="009A4CA8">
          <w:rPr>
            <w:rStyle w:val="Hyperlink"/>
          </w:rPr>
          <w:t>7.2</w:t>
        </w:r>
        <w:r w:rsidR="00791B9C">
          <w:rPr>
            <w:rFonts w:asciiTheme="minorHAnsi" w:hAnsiTheme="minorHAnsi"/>
          </w:rPr>
          <w:tab/>
        </w:r>
        <w:r w:rsidR="00791B9C" w:rsidRPr="009A4CA8">
          <w:rPr>
            <w:rStyle w:val="Hyperlink"/>
          </w:rPr>
          <w:t>Specimen and Other Materials</w:t>
        </w:r>
        <w:r w:rsidR="00791B9C">
          <w:rPr>
            <w:webHidden/>
          </w:rPr>
          <w:tab/>
        </w:r>
        <w:r w:rsidR="00791B9C">
          <w:rPr>
            <w:webHidden/>
          </w:rPr>
          <w:fldChar w:fldCharType="begin"/>
        </w:r>
        <w:r w:rsidR="00791B9C">
          <w:rPr>
            <w:webHidden/>
          </w:rPr>
          <w:instrText xml:space="preserve"> PAGEREF _Toc375231217 \h </w:instrText>
        </w:r>
        <w:r w:rsidR="00791B9C">
          <w:rPr>
            <w:webHidden/>
          </w:rPr>
        </w:r>
        <w:r w:rsidR="00791B9C">
          <w:rPr>
            <w:webHidden/>
          </w:rPr>
          <w:fldChar w:fldCharType="separate"/>
        </w:r>
        <w:r w:rsidR="00791B9C">
          <w:rPr>
            <w:webHidden/>
          </w:rPr>
          <w:t>25</w:t>
        </w:r>
        <w:r w:rsidR="00791B9C">
          <w:rPr>
            <w:webHidden/>
          </w:rPr>
          <w:fldChar w:fldCharType="end"/>
        </w:r>
      </w:hyperlink>
    </w:p>
    <w:p w14:paraId="728E07B6" w14:textId="77777777" w:rsidR="00791B9C" w:rsidRDefault="0036768F">
      <w:pPr>
        <w:pStyle w:val="TOC1"/>
        <w:rPr>
          <w:rFonts w:asciiTheme="minorHAnsi" w:eastAsiaTheme="minorEastAsia" w:hAnsiTheme="minorHAnsi" w:cstheme="minorBidi"/>
          <w:caps w:val="0"/>
          <w:szCs w:val="22"/>
        </w:rPr>
      </w:pPr>
      <w:hyperlink w:anchor="_Toc375231218" w:history="1">
        <w:r w:rsidR="00791B9C" w:rsidRPr="009A4CA8">
          <w:rPr>
            <w:rStyle w:val="Hyperlink"/>
          </w:rPr>
          <w:t>8</w:t>
        </w:r>
        <w:r w:rsidR="00791B9C">
          <w:rPr>
            <w:rFonts w:asciiTheme="minorHAnsi" w:eastAsiaTheme="minorEastAsia" w:hAnsiTheme="minorHAnsi" w:cstheme="minorBidi"/>
            <w:caps w:val="0"/>
            <w:szCs w:val="22"/>
          </w:rPr>
          <w:tab/>
        </w:r>
        <w:r w:rsidR="00791B9C" w:rsidRPr="009A4CA8">
          <w:rPr>
            <w:rStyle w:val="Hyperlink"/>
          </w:rPr>
          <w:t>CLINICAL SITE MONITORING</w:t>
        </w:r>
        <w:r w:rsidR="00791B9C">
          <w:rPr>
            <w:webHidden/>
          </w:rPr>
          <w:tab/>
        </w:r>
        <w:r w:rsidR="00791B9C">
          <w:rPr>
            <w:webHidden/>
          </w:rPr>
          <w:fldChar w:fldCharType="begin"/>
        </w:r>
        <w:r w:rsidR="00791B9C">
          <w:rPr>
            <w:webHidden/>
          </w:rPr>
          <w:instrText xml:space="preserve"> PAGEREF _Toc375231218 \h </w:instrText>
        </w:r>
        <w:r w:rsidR="00791B9C">
          <w:rPr>
            <w:webHidden/>
          </w:rPr>
        </w:r>
        <w:r w:rsidR="00791B9C">
          <w:rPr>
            <w:webHidden/>
          </w:rPr>
          <w:fldChar w:fldCharType="separate"/>
        </w:r>
        <w:r w:rsidR="00791B9C">
          <w:rPr>
            <w:webHidden/>
          </w:rPr>
          <w:t>25</w:t>
        </w:r>
        <w:r w:rsidR="00791B9C">
          <w:rPr>
            <w:webHidden/>
          </w:rPr>
          <w:fldChar w:fldCharType="end"/>
        </w:r>
      </w:hyperlink>
    </w:p>
    <w:p w14:paraId="4DCACACD" w14:textId="77777777" w:rsidR="00791B9C" w:rsidRDefault="0036768F">
      <w:pPr>
        <w:pStyle w:val="TOC2"/>
        <w:rPr>
          <w:rFonts w:asciiTheme="minorHAnsi" w:hAnsiTheme="minorHAnsi"/>
        </w:rPr>
      </w:pPr>
      <w:hyperlink w:anchor="_Toc375231219" w:history="1">
        <w:r w:rsidR="00791B9C" w:rsidRPr="009A4CA8">
          <w:rPr>
            <w:rStyle w:val="Hyperlink"/>
          </w:rPr>
          <w:t>8.1</w:t>
        </w:r>
        <w:r w:rsidR="00791B9C">
          <w:rPr>
            <w:rFonts w:asciiTheme="minorHAnsi" w:hAnsiTheme="minorHAnsi"/>
          </w:rPr>
          <w:tab/>
        </w:r>
        <w:r w:rsidR="00791B9C" w:rsidRPr="009A4CA8">
          <w:rPr>
            <w:rStyle w:val="Hyperlink"/>
          </w:rPr>
          <w:t>Pre-Site Initiation Teleconference with OCTOM and CROMS</w:t>
        </w:r>
        <w:r w:rsidR="00791B9C">
          <w:rPr>
            <w:webHidden/>
          </w:rPr>
          <w:tab/>
        </w:r>
        <w:r w:rsidR="00791B9C">
          <w:rPr>
            <w:webHidden/>
          </w:rPr>
          <w:fldChar w:fldCharType="begin"/>
        </w:r>
        <w:r w:rsidR="00791B9C">
          <w:rPr>
            <w:webHidden/>
          </w:rPr>
          <w:instrText xml:space="preserve"> PAGEREF _Toc375231219 \h </w:instrText>
        </w:r>
        <w:r w:rsidR="00791B9C">
          <w:rPr>
            <w:webHidden/>
          </w:rPr>
        </w:r>
        <w:r w:rsidR="00791B9C">
          <w:rPr>
            <w:webHidden/>
          </w:rPr>
          <w:fldChar w:fldCharType="separate"/>
        </w:r>
        <w:r w:rsidR="00791B9C">
          <w:rPr>
            <w:webHidden/>
          </w:rPr>
          <w:t>25</w:t>
        </w:r>
        <w:r w:rsidR="00791B9C">
          <w:rPr>
            <w:webHidden/>
          </w:rPr>
          <w:fldChar w:fldCharType="end"/>
        </w:r>
      </w:hyperlink>
    </w:p>
    <w:p w14:paraId="77D2F3B6" w14:textId="77777777" w:rsidR="00791B9C" w:rsidRDefault="0036768F">
      <w:pPr>
        <w:pStyle w:val="TOC2"/>
        <w:rPr>
          <w:rFonts w:asciiTheme="minorHAnsi" w:hAnsiTheme="minorHAnsi"/>
        </w:rPr>
      </w:pPr>
      <w:hyperlink w:anchor="_Toc375231220" w:history="1">
        <w:r w:rsidR="00791B9C" w:rsidRPr="009A4CA8">
          <w:rPr>
            <w:rStyle w:val="Hyperlink"/>
          </w:rPr>
          <w:t>8.2</w:t>
        </w:r>
        <w:r w:rsidR="00791B9C">
          <w:rPr>
            <w:rFonts w:asciiTheme="minorHAnsi" w:hAnsiTheme="minorHAnsi"/>
          </w:rPr>
          <w:tab/>
        </w:r>
        <w:r w:rsidR="00791B9C" w:rsidRPr="009A4CA8">
          <w:rPr>
            <w:rStyle w:val="Hyperlink"/>
          </w:rPr>
          <w:t>Clinical Site Monitoring Plan (CMP)</w:t>
        </w:r>
        <w:r w:rsidR="00791B9C">
          <w:rPr>
            <w:webHidden/>
          </w:rPr>
          <w:tab/>
        </w:r>
        <w:r w:rsidR="00791B9C">
          <w:rPr>
            <w:webHidden/>
          </w:rPr>
          <w:fldChar w:fldCharType="begin"/>
        </w:r>
        <w:r w:rsidR="00791B9C">
          <w:rPr>
            <w:webHidden/>
          </w:rPr>
          <w:instrText xml:space="preserve"> PAGEREF _Toc375231220 \h </w:instrText>
        </w:r>
        <w:r w:rsidR="00791B9C">
          <w:rPr>
            <w:webHidden/>
          </w:rPr>
        </w:r>
        <w:r w:rsidR="00791B9C">
          <w:rPr>
            <w:webHidden/>
          </w:rPr>
          <w:fldChar w:fldCharType="separate"/>
        </w:r>
        <w:r w:rsidR="00791B9C">
          <w:rPr>
            <w:webHidden/>
          </w:rPr>
          <w:t>26</w:t>
        </w:r>
        <w:r w:rsidR="00791B9C">
          <w:rPr>
            <w:webHidden/>
          </w:rPr>
          <w:fldChar w:fldCharType="end"/>
        </w:r>
      </w:hyperlink>
    </w:p>
    <w:p w14:paraId="72DC73C4" w14:textId="77777777" w:rsidR="00791B9C" w:rsidRDefault="0036768F">
      <w:pPr>
        <w:pStyle w:val="TOC2"/>
        <w:rPr>
          <w:rFonts w:asciiTheme="minorHAnsi" w:hAnsiTheme="minorHAnsi"/>
        </w:rPr>
      </w:pPr>
      <w:hyperlink w:anchor="_Toc375231221" w:history="1">
        <w:r w:rsidR="00791B9C" w:rsidRPr="009A4CA8">
          <w:rPr>
            <w:rStyle w:val="Hyperlink"/>
          </w:rPr>
          <w:t>8.3</w:t>
        </w:r>
        <w:r w:rsidR="00791B9C">
          <w:rPr>
            <w:rFonts w:asciiTheme="minorHAnsi" w:hAnsiTheme="minorHAnsi"/>
          </w:rPr>
          <w:tab/>
        </w:r>
        <w:r w:rsidR="00791B9C" w:rsidRPr="009A4CA8">
          <w:rPr>
            <w:rStyle w:val="Hyperlink"/>
          </w:rPr>
          <w:t>Site Initiation Visit (SIV)</w:t>
        </w:r>
        <w:r w:rsidR="00791B9C">
          <w:rPr>
            <w:webHidden/>
          </w:rPr>
          <w:tab/>
        </w:r>
        <w:r w:rsidR="00791B9C">
          <w:rPr>
            <w:webHidden/>
          </w:rPr>
          <w:fldChar w:fldCharType="begin"/>
        </w:r>
        <w:r w:rsidR="00791B9C">
          <w:rPr>
            <w:webHidden/>
          </w:rPr>
          <w:instrText xml:space="preserve"> PAGEREF _Toc375231221 \h </w:instrText>
        </w:r>
        <w:r w:rsidR="00791B9C">
          <w:rPr>
            <w:webHidden/>
          </w:rPr>
        </w:r>
        <w:r w:rsidR="00791B9C">
          <w:rPr>
            <w:webHidden/>
          </w:rPr>
          <w:fldChar w:fldCharType="separate"/>
        </w:r>
        <w:r w:rsidR="00791B9C">
          <w:rPr>
            <w:webHidden/>
          </w:rPr>
          <w:t>26</w:t>
        </w:r>
        <w:r w:rsidR="00791B9C">
          <w:rPr>
            <w:webHidden/>
          </w:rPr>
          <w:fldChar w:fldCharType="end"/>
        </w:r>
      </w:hyperlink>
    </w:p>
    <w:p w14:paraId="0E5220B7" w14:textId="77777777" w:rsidR="00791B9C" w:rsidRDefault="0036768F">
      <w:pPr>
        <w:pStyle w:val="TOC1"/>
        <w:rPr>
          <w:rFonts w:asciiTheme="minorHAnsi" w:eastAsiaTheme="minorEastAsia" w:hAnsiTheme="minorHAnsi" w:cstheme="minorBidi"/>
          <w:caps w:val="0"/>
          <w:szCs w:val="22"/>
        </w:rPr>
      </w:pPr>
      <w:hyperlink w:anchor="_Toc375231222" w:history="1">
        <w:r w:rsidR="00791B9C" w:rsidRPr="009A4CA8">
          <w:rPr>
            <w:rStyle w:val="Hyperlink"/>
          </w:rPr>
          <w:t>9</w:t>
        </w:r>
        <w:r w:rsidR="00791B9C">
          <w:rPr>
            <w:rFonts w:asciiTheme="minorHAnsi" w:eastAsiaTheme="minorEastAsia" w:hAnsiTheme="minorHAnsi" w:cstheme="minorBidi"/>
            <w:caps w:val="0"/>
            <w:szCs w:val="22"/>
          </w:rPr>
          <w:tab/>
        </w:r>
        <w:r w:rsidR="00791B9C" w:rsidRPr="009A4CA8">
          <w:rPr>
            <w:rStyle w:val="Hyperlink"/>
          </w:rPr>
          <w:t>SITE INITIATION, CTOA, AND ACTIVATION</w:t>
        </w:r>
        <w:r w:rsidR="00791B9C">
          <w:rPr>
            <w:webHidden/>
          </w:rPr>
          <w:tab/>
        </w:r>
        <w:r w:rsidR="00791B9C">
          <w:rPr>
            <w:webHidden/>
          </w:rPr>
          <w:fldChar w:fldCharType="begin"/>
        </w:r>
        <w:r w:rsidR="00791B9C">
          <w:rPr>
            <w:webHidden/>
          </w:rPr>
          <w:instrText xml:space="preserve"> PAGEREF _Toc375231222 \h </w:instrText>
        </w:r>
        <w:r w:rsidR="00791B9C">
          <w:rPr>
            <w:webHidden/>
          </w:rPr>
        </w:r>
        <w:r w:rsidR="00791B9C">
          <w:rPr>
            <w:webHidden/>
          </w:rPr>
          <w:fldChar w:fldCharType="separate"/>
        </w:r>
        <w:r w:rsidR="00791B9C">
          <w:rPr>
            <w:webHidden/>
          </w:rPr>
          <w:t>26</w:t>
        </w:r>
        <w:r w:rsidR="00791B9C">
          <w:rPr>
            <w:webHidden/>
          </w:rPr>
          <w:fldChar w:fldCharType="end"/>
        </w:r>
      </w:hyperlink>
    </w:p>
    <w:p w14:paraId="7FBDBF5A" w14:textId="77777777" w:rsidR="00791B9C" w:rsidRDefault="0036768F">
      <w:pPr>
        <w:pStyle w:val="TOC2"/>
        <w:rPr>
          <w:rFonts w:asciiTheme="minorHAnsi" w:hAnsiTheme="minorHAnsi"/>
        </w:rPr>
      </w:pPr>
      <w:hyperlink w:anchor="_Toc375231223" w:history="1">
        <w:r w:rsidR="00791B9C" w:rsidRPr="009A4CA8">
          <w:rPr>
            <w:rStyle w:val="Hyperlink"/>
          </w:rPr>
          <w:t>9.1</w:t>
        </w:r>
        <w:r w:rsidR="00791B9C">
          <w:rPr>
            <w:rFonts w:asciiTheme="minorHAnsi" w:hAnsiTheme="minorHAnsi"/>
          </w:rPr>
          <w:tab/>
        </w:r>
        <w:r w:rsidR="00791B9C" w:rsidRPr="009A4CA8">
          <w:rPr>
            <w:rStyle w:val="Hyperlink"/>
          </w:rPr>
          <w:t>Site Initiation Visit (SIV)</w:t>
        </w:r>
        <w:r w:rsidR="00791B9C">
          <w:rPr>
            <w:webHidden/>
          </w:rPr>
          <w:tab/>
        </w:r>
        <w:r w:rsidR="00791B9C">
          <w:rPr>
            <w:webHidden/>
          </w:rPr>
          <w:fldChar w:fldCharType="begin"/>
        </w:r>
        <w:r w:rsidR="00791B9C">
          <w:rPr>
            <w:webHidden/>
          </w:rPr>
          <w:instrText xml:space="preserve"> PAGEREF _Toc375231223 \h </w:instrText>
        </w:r>
        <w:r w:rsidR="00791B9C">
          <w:rPr>
            <w:webHidden/>
          </w:rPr>
        </w:r>
        <w:r w:rsidR="00791B9C">
          <w:rPr>
            <w:webHidden/>
          </w:rPr>
          <w:fldChar w:fldCharType="separate"/>
        </w:r>
        <w:r w:rsidR="00791B9C">
          <w:rPr>
            <w:webHidden/>
          </w:rPr>
          <w:t>26</w:t>
        </w:r>
        <w:r w:rsidR="00791B9C">
          <w:rPr>
            <w:webHidden/>
          </w:rPr>
          <w:fldChar w:fldCharType="end"/>
        </w:r>
      </w:hyperlink>
    </w:p>
    <w:p w14:paraId="2D62ECB6" w14:textId="77777777" w:rsidR="00791B9C" w:rsidRDefault="0036768F">
      <w:pPr>
        <w:pStyle w:val="TOC2"/>
        <w:rPr>
          <w:rFonts w:asciiTheme="minorHAnsi" w:hAnsiTheme="minorHAnsi"/>
        </w:rPr>
      </w:pPr>
      <w:hyperlink w:anchor="_Toc375231224" w:history="1">
        <w:r w:rsidR="00791B9C" w:rsidRPr="009A4CA8">
          <w:rPr>
            <w:rStyle w:val="Hyperlink"/>
          </w:rPr>
          <w:t>9.2</w:t>
        </w:r>
        <w:r w:rsidR="00791B9C">
          <w:rPr>
            <w:rFonts w:asciiTheme="minorHAnsi" w:hAnsiTheme="minorHAnsi"/>
          </w:rPr>
          <w:tab/>
        </w:r>
        <w:r w:rsidR="00791B9C" w:rsidRPr="009A4CA8">
          <w:rPr>
            <w:rStyle w:val="Hyperlink"/>
          </w:rPr>
          <w:t>Clinical Terms of Award</w:t>
        </w:r>
        <w:r w:rsidR="00791B9C">
          <w:rPr>
            <w:webHidden/>
          </w:rPr>
          <w:tab/>
        </w:r>
        <w:r w:rsidR="00791B9C">
          <w:rPr>
            <w:webHidden/>
          </w:rPr>
          <w:fldChar w:fldCharType="begin"/>
        </w:r>
        <w:r w:rsidR="00791B9C">
          <w:rPr>
            <w:webHidden/>
          </w:rPr>
          <w:instrText xml:space="preserve"> PAGEREF _Toc375231224 \h </w:instrText>
        </w:r>
        <w:r w:rsidR="00791B9C">
          <w:rPr>
            <w:webHidden/>
          </w:rPr>
        </w:r>
        <w:r w:rsidR="00791B9C">
          <w:rPr>
            <w:webHidden/>
          </w:rPr>
          <w:fldChar w:fldCharType="separate"/>
        </w:r>
        <w:r w:rsidR="00791B9C">
          <w:rPr>
            <w:webHidden/>
          </w:rPr>
          <w:t>27</w:t>
        </w:r>
        <w:r w:rsidR="00791B9C">
          <w:rPr>
            <w:webHidden/>
          </w:rPr>
          <w:fldChar w:fldCharType="end"/>
        </w:r>
      </w:hyperlink>
    </w:p>
    <w:p w14:paraId="471FD643" w14:textId="77777777" w:rsidR="00791B9C" w:rsidRDefault="0036768F">
      <w:pPr>
        <w:pStyle w:val="TOC2"/>
        <w:rPr>
          <w:rFonts w:asciiTheme="minorHAnsi" w:hAnsiTheme="minorHAnsi"/>
        </w:rPr>
      </w:pPr>
      <w:hyperlink w:anchor="_Toc375231225" w:history="1">
        <w:r w:rsidR="00791B9C" w:rsidRPr="009A4CA8">
          <w:rPr>
            <w:rStyle w:val="Hyperlink"/>
          </w:rPr>
          <w:t>9.3</w:t>
        </w:r>
        <w:r w:rsidR="00791B9C">
          <w:rPr>
            <w:rFonts w:asciiTheme="minorHAnsi" w:hAnsiTheme="minorHAnsi"/>
          </w:rPr>
          <w:tab/>
        </w:r>
        <w:r w:rsidR="00791B9C" w:rsidRPr="009A4CA8">
          <w:rPr>
            <w:rStyle w:val="Hyperlink"/>
          </w:rPr>
          <w:t>Site Activation</w:t>
        </w:r>
        <w:r w:rsidR="00791B9C">
          <w:rPr>
            <w:webHidden/>
          </w:rPr>
          <w:tab/>
        </w:r>
        <w:r w:rsidR="00791B9C">
          <w:rPr>
            <w:webHidden/>
          </w:rPr>
          <w:fldChar w:fldCharType="begin"/>
        </w:r>
        <w:r w:rsidR="00791B9C">
          <w:rPr>
            <w:webHidden/>
          </w:rPr>
          <w:instrText xml:space="preserve"> PAGEREF _Toc375231225 \h </w:instrText>
        </w:r>
        <w:r w:rsidR="00791B9C">
          <w:rPr>
            <w:webHidden/>
          </w:rPr>
        </w:r>
        <w:r w:rsidR="00791B9C">
          <w:rPr>
            <w:webHidden/>
          </w:rPr>
          <w:fldChar w:fldCharType="separate"/>
        </w:r>
        <w:r w:rsidR="00791B9C">
          <w:rPr>
            <w:webHidden/>
          </w:rPr>
          <w:t>28</w:t>
        </w:r>
        <w:r w:rsidR="00791B9C">
          <w:rPr>
            <w:webHidden/>
          </w:rPr>
          <w:fldChar w:fldCharType="end"/>
        </w:r>
      </w:hyperlink>
    </w:p>
    <w:p w14:paraId="2B6BA182" w14:textId="77777777" w:rsidR="00791B9C" w:rsidRDefault="0036768F">
      <w:pPr>
        <w:pStyle w:val="TOC1"/>
        <w:rPr>
          <w:rFonts w:asciiTheme="minorHAnsi" w:eastAsiaTheme="minorEastAsia" w:hAnsiTheme="minorHAnsi" w:cstheme="minorBidi"/>
          <w:caps w:val="0"/>
          <w:szCs w:val="22"/>
        </w:rPr>
      </w:pPr>
      <w:hyperlink w:anchor="_Toc375231226" w:history="1">
        <w:r w:rsidR="00791B9C" w:rsidRPr="009A4CA8">
          <w:rPr>
            <w:rStyle w:val="Hyperlink"/>
          </w:rPr>
          <w:t>10</w:t>
        </w:r>
        <w:r w:rsidR="00791B9C">
          <w:rPr>
            <w:rFonts w:asciiTheme="minorHAnsi" w:eastAsiaTheme="minorEastAsia" w:hAnsiTheme="minorHAnsi" w:cstheme="minorBidi"/>
            <w:caps w:val="0"/>
            <w:szCs w:val="22"/>
          </w:rPr>
          <w:tab/>
        </w:r>
        <w:r w:rsidR="00791B9C" w:rsidRPr="009A4CA8">
          <w:rPr>
            <w:rStyle w:val="Hyperlink"/>
          </w:rPr>
          <w:t>APPENDICES</w:t>
        </w:r>
        <w:r w:rsidR="00791B9C">
          <w:rPr>
            <w:webHidden/>
          </w:rPr>
          <w:tab/>
        </w:r>
        <w:r w:rsidR="00791B9C">
          <w:rPr>
            <w:webHidden/>
          </w:rPr>
          <w:fldChar w:fldCharType="begin"/>
        </w:r>
        <w:r w:rsidR="00791B9C">
          <w:rPr>
            <w:webHidden/>
          </w:rPr>
          <w:instrText xml:space="preserve"> PAGEREF _Toc375231226 \h </w:instrText>
        </w:r>
        <w:r w:rsidR="00791B9C">
          <w:rPr>
            <w:webHidden/>
          </w:rPr>
        </w:r>
        <w:r w:rsidR="00791B9C">
          <w:rPr>
            <w:webHidden/>
          </w:rPr>
          <w:fldChar w:fldCharType="separate"/>
        </w:r>
        <w:r w:rsidR="00791B9C">
          <w:rPr>
            <w:webHidden/>
          </w:rPr>
          <w:t>29</w:t>
        </w:r>
        <w:r w:rsidR="00791B9C">
          <w:rPr>
            <w:webHidden/>
          </w:rPr>
          <w:fldChar w:fldCharType="end"/>
        </w:r>
      </w:hyperlink>
    </w:p>
    <w:p w14:paraId="5B1FB18C" w14:textId="77777777" w:rsidR="00937B91" w:rsidRDefault="00BA2600" w:rsidP="00E35E78">
      <w:pPr>
        <w:rPr>
          <w:b/>
        </w:rPr>
        <w:sectPr w:rsidR="00937B91" w:rsidSect="0063098A">
          <w:headerReference w:type="even" r:id="rId14"/>
          <w:headerReference w:type="default" r:id="rId15"/>
          <w:footerReference w:type="even" r:id="rId16"/>
          <w:footerReference w:type="default" r:id="rId17"/>
          <w:headerReference w:type="first" r:id="rId18"/>
          <w:footerReference w:type="first" r:id="rId19"/>
          <w:footnotePr>
            <w:numStart w:val="2"/>
          </w:footnotePr>
          <w:pgSz w:w="12240" w:h="15840"/>
          <w:pgMar w:top="1680" w:right="1440" w:bottom="1440" w:left="1440" w:header="720" w:footer="720" w:gutter="0"/>
          <w:cols w:space="720"/>
          <w:titlePg/>
          <w:docGrid w:linePitch="360"/>
        </w:sectPr>
      </w:pPr>
      <w:r w:rsidRPr="00A71EB9">
        <w:rPr>
          <w:rFonts w:ascii="Arial" w:hAnsi="Arial" w:cs="Arial"/>
          <w:b/>
          <w:sz w:val="20"/>
          <w:szCs w:val="20"/>
        </w:rPr>
        <w:fldChar w:fldCharType="end"/>
      </w:r>
    </w:p>
    <w:p w14:paraId="69EB1FF9" w14:textId="77777777" w:rsidR="00AF4CC0" w:rsidRPr="00CA5F34" w:rsidRDefault="00AF3BF2" w:rsidP="00CA5F34">
      <w:pPr>
        <w:pStyle w:val="Heading1"/>
      </w:pPr>
      <w:bookmarkStart w:id="0" w:name="_Toc375231186"/>
      <w:r w:rsidRPr="00CA5F34">
        <w:lastRenderedPageBreak/>
        <w:t>ABBREVIATIONS AND TERMINOLOGY</w:t>
      </w:r>
      <w:bookmarkEnd w:id="0"/>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4"/>
        <w:gridCol w:w="8154"/>
      </w:tblGrid>
      <w:tr w:rsidR="00E20AC0" w14:paraId="78C68794" w14:textId="77777777" w:rsidTr="000679A9">
        <w:tc>
          <w:tcPr>
            <w:tcW w:w="1584" w:type="dxa"/>
          </w:tcPr>
          <w:p w14:paraId="7C3684AC" w14:textId="77777777" w:rsidR="00E20AC0" w:rsidRDefault="00E20AC0" w:rsidP="00A33917">
            <w:pPr>
              <w:pStyle w:val="CROMSTableParameters"/>
            </w:pPr>
            <w:r>
              <w:t>Ancillary Clinical Site (or Ancillary Clinical Study Site)</w:t>
            </w:r>
          </w:p>
        </w:tc>
        <w:tc>
          <w:tcPr>
            <w:tcW w:w="8118" w:type="dxa"/>
          </w:tcPr>
          <w:p w14:paraId="528CA5EE" w14:textId="77777777" w:rsidR="00013C92" w:rsidRDefault="00E20AC0" w:rsidP="00A33917">
            <w:pPr>
              <w:pStyle w:val="CROMSTableParameters"/>
            </w:pPr>
            <w:r>
              <w:t>Physical site or location that may be an extension from the Clinical Site</w:t>
            </w:r>
            <w:r w:rsidR="00E26B2E">
              <w:t xml:space="preserve"> </w:t>
            </w:r>
            <w:r>
              <w:t>/</w:t>
            </w:r>
            <w:r w:rsidR="00E26B2E">
              <w:t xml:space="preserve"> </w:t>
            </w:r>
            <w:r>
              <w:t>Clinical Study Site (e.g., homes, schools, public locations) where subjects are seen for study purposes. Study personnel travel from a Clinical Site</w:t>
            </w:r>
            <w:r w:rsidR="00E26B2E">
              <w:t xml:space="preserve"> </w:t>
            </w:r>
            <w:r>
              <w:t>/</w:t>
            </w:r>
            <w:r w:rsidR="00E26B2E">
              <w:t xml:space="preserve"> </w:t>
            </w:r>
            <w:r>
              <w:t>Clin</w:t>
            </w:r>
            <w:r w:rsidR="00E26B2E">
              <w:t>ical Study Site to this ancillary site in order to perform some or all study procedures on subjects. Study personnel are not affiliated with or located at the ancillary site, but are affiliated with the Clinical Site / Clinical Study Site. Study documents, study product, and study materials are not maintained at the ancillary site; these usually travel with the study personnel and are maintained at the Clinical Site / Clinical Study Site.</w:t>
            </w:r>
          </w:p>
        </w:tc>
      </w:tr>
      <w:tr w:rsidR="00AF5605" w14:paraId="2CEADF66" w14:textId="77777777" w:rsidTr="000679A9">
        <w:tc>
          <w:tcPr>
            <w:tcW w:w="1584" w:type="dxa"/>
          </w:tcPr>
          <w:p w14:paraId="734C3D16" w14:textId="77777777" w:rsidR="00AF5605" w:rsidRDefault="00AF5605" w:rsidP="00A33917">
            <w:pPr>
              <w:pStyle w:val="CROMSTableParameters"/>
            </w:pPr>
            <w:r>
              <w:t>CD</w:t>
            </w:r>
          </w:p>
        </w:tc>
        <w:tc>
          <w:tcPr>
            <w:tcW w:w="8118" w:type="dxa"/>
          </w:tcPr>
          <w:p w14:paraId="4ED06CCD" w14:textId="77777777" w:rsidR="00AF5605" w:rsidRDefault="00AF5605" w:rsidP="00A33917">
            <w:pPr>
              <w:pStyle w:val="CROMSTableParameters"/>
            </w:pPr>
            <w:r>
              <w:t>Consent document</w:t>
            </w:r>
          </w:p>
        </w:tc>
      </w:tr>
      <w:tr w:rsidR="00CD79B7" w14:paraId="63D93164" w14:textId="77777777" w:rsidTr="000679A9">
        <w:tc>
          <w:tcPr>
            <w:tcW w:w="1584" w:type="dxa"/>
          </w:tcPr>
          <w:p w14:paraId="4989073F" w14:textId="77777777" w:rsidR="00CD79B7" w:rsidRDefault="00CD79B7" w:rsidP="00A33917">
            <w:pPr>
              <w:pStyle w:val="CROMSTableParameters"/>
            </w:pPr>
            <w:r>
              <w:t>Clinical Site</w:t>
            </w:r>
            <w:r w:rsidR="007A4256">
              <w:t xml:space="preserve"> (or Clinical Study Site)</w:t>
            </w:r>
          </w:p>
        </w:tc>
        <w:tc>
          <w:tcPr>
            <w:tcW w:w="8118" w:type="dxa"/>
          </w:tcPr>
          <w:p w14:paraId="28E7E8C2" w14:textId="77777777" w:rsidR="00013C92" w:rsidRDefault="00527B2A" w:rsidP="00A33917">
            <w:pPr>
              <w:pStyle w:val="CROMSTableParameters"/>
            </w:pPr>
            <w:r>
              <w:t>Physical site or l</w:t>
            </w:r>
            <w:r w:rsidR="00CD79B7">
              <w:t xml:space="preserve">ocation where participant/subject records are maintained; </w:t>
            </w:r>
            <w:r w:rsidR="00D03DC2">
              <w:t>often</w:t>
            </w:r>
            <w:r w:rsidR="00CD79B7">
              <w:t xml:space="preserve"> this is the location where participants/subjects are seen by study staff for study </w:t>
            </w:r>
            <w:r w:rsidR="007A4256">
              <w:t>purposes and study procedures are performed</w:t>
            </w:r>
            <w:r w:rsidR="00CD79B7">
              <w:t xml:space="preserve">, </w:t>
            </w:r>
            <w:r w:rsidR="00551179">
              <w:t xml:space="preserve">where study product or materials are maintained, </w:t>
            </w:r>
            <w:r w:rsidR="00CD79B7">
              <w:t xml:space="preserve">and where data and regulatory records are </w:t>
            </w:r>
            <w:r w:rsidR="00551179">
              <w:t>stored</w:t>
            </w:r>
            <w:r w:rsidR="00CD79B7">
              <w:t xml:space="preserve">. </w:t>
            </w:r>
            <w:r w:rsidR="007A4256">
              <w:t>Study personnel are affiliated with the Clinical Site</w:t>
            </w:r>
            <w:r w:rsidR="00313954">
              <w:t xml:space="preserve"> </w:t>
            </w:r>
            <w:r w:rsidR="007A4256">
              <w:t>and operate in and from this location.</w:t>
            </w:r>
            <w:r w:rsidR="005F6322">
              <w:t xml:space="preserve"> (The term </w:t>
            </w:r>
            <w:r w:rsidR="00C0111D">
              <w:t>“</w:t>
            </w:r>
            <w:r w:rsidR="005F6322">
              <w:t>Clinical Study Site</w:t>
            </w:r>
            <w:r w:rsidR="00C0111D">
              <w:t>”</w:t>
            </w:r>
            <w:r w:rsidR="005F6322">
              <w:t xml:space="preserve"> may be preferred for studies which include a dental or medical clinic and the use of the word “clinic” requires further definition.) </w:t>
            </w:r>
          </w:p>
        </w:tc>
      </w:tr>
      <w:tr w:rsidR="00341D67" w14:paraId="646D5146" w14:textId="77777777" w:rsidTr="000679A9">
        <w:tc>
          <w:tcPr>
            <w:tcW w:w="1584" w:type="dxa"/>
          </w:tcPr>
          <w:p w14:paraId="1E48BE25" w14:textId="77777777" w:rsidR="00341D67" w:rsidRDefault="00341D67" w:rsidP="00A33917">
            <w:pPr>
              <w:pStyle w:val="CROMSTableParameters"/>
            </w:pPr>
            <w:r>
              <w:t>CRA</w:t>
            </w:r>
          </w:p>
        </w:tc>
        <w:tc>
          <w:tcPr>
            <w:tcW w:w="8118" w:type="dxa"/>
          </w:tcPr>
          <w:p w14:paraId="67B34BBC" w14:textId="77777777" w:rsidR="00341D67" w:rsidRDefault="00341D67" w:rsidP="00A33917">
            <w:pPr>
              <w:pStyle w:val="CROMSTableParameters"/>
            </w:pPr>
            <w:r>
              <w:t>Clinical Research Associate</w:t>
            </w:r>
            <w:r w:rsidR="009F1D6B">
              <w:t xml:space="preserve">. </w:t>
            </w:r>
            <w:r w:rsidR="009F1D6B" w:rsidRPr="009F1D6B">
              <w:t>Monitor; person who monitors the progress of the investigation as well as sites participating in a clinical study and who is responsible for assessing study conduct in adherence with protocol requirements.</w:t>
            </w:r>
          </w:p>
        </w:tc>
      </w:tr>
      <w:tr w:rsidR="0019486A" w14:paraId="6076AE21" w14:textId="77777777" w:rsidTr="000679A9">
        <w:tc>
          <w:tcPr>
            <w:tcW w:w="1584" w:type="dxa"/>
          </w:tcPr>
          <w:p w14:paraId="50D3CC6F" w14:textId="77777777" w:rsidR="0019486A" w:rsidRDefault="0019486A" w:rsidP="00A33917">
            <w:pPr>
              <w:pStyle w:val="CROMSTableParameters"/>
            </w:pPr>
            <w:r>
              <w:t>CRF</w:t>
            </w:r>
          </w:p>
        </w:tc>
        <w:tc>
          <w:tcPr>
            <w:tcW w:w="8118" w:type="dxa"/>
          </w:tcPr>
          <w:p w14:paraId="6856AEA4" w14:textId="77777777" w:rsidR="00013C92" w:rsidRDefault="0019486A" w:rsidP="00B53C10">
            <w:pPr>
              <w:pStyle w:val="CROMSTableParameters"/>
            </w:pPr>
            <w:r>
              <w:t>Case Report Form</w:t>
            </w:r>
            <w:r w:rsidR="00A73009">
              <w:t xml:space="preserve"> </w:t>
            </w:r>
            <w:r w:rsidR="00406588">
              <w:t xml:space="preserve">(term used to describe the </w:t>
            </w:r>
            <w:r w:rsidR="00492113">
              <w:t xml:space="preserve">set of </w:t>
            </w:r>
            <w:r w:rsidR="00406588">
              <w:t>data collection instruments of clinical trials).  The term “data collection forms” is a common term for other</w:t>
            </w:r>
            <w:r w:rsidR="00B53C10">
              <w:t xml:space="preserve"> clinical</w:t>
            </w:r>
            <w:r w:rsidR="00406588">
              <w:t xml:space="preserve"> research</w:t>
            </w:r>
            <w:r w:rsidR="00B53C10">
              <w:t>, such as behavioral interventions, specimen collection studies, and observational studies</w:t>
            </w:r>
            <w:r w:rsidR="00406588">
              <w:t>.</w:t>
            </w:r>
          </w:p>
        </w:tc>
      </w:tr>
      <w:tr w:rsidR="00523100" w14:paraId="74FBD1AF" w14:textId="77777777" w:rsidTr="000679A9">
        <w:tc>
          <w:tcPr>
            <w:tcW w:w="1584" w:type="dxa"/>
          </w:tcPr>
          <w:p w14:paraId="44031F0D" w14:textId="77777777" w:rsidR="00523100" w:rsidRDefault="00523100" w:rsidP="0037568D">
            <w:pPr>
              <w:pStyle w:val="CROMSTableParameters"/>
            </w:pPr>
            <w:r>
              <w:t>Clinical Research</w:t>
            </w:r>
          </w:p>
        </w:tc>
        <w:tc>
          <w:tcPr>
            <w:tcW w:w="8118" w:type="dxa"/>
          </w:tcPr>
          <w:p w14:paraId="46CB0140" w14:textId="77777777" w:rsidR="009A1481" w:rsidRDefault="00523100" w:rsidP="00A33917">
            <w:pPr>
              <w:pStyle w:val="CROMSTableParameters"/>
            </w:pPr>
            <w:r w:rsidRPr="00B23CFA">
              <w:t xml:space="preserve">Patient-oriented research, including epidemiologic and behavioral studies, outcomes research, and health services research. Patient-oriented research is research conducted with human subjects (or on material of human origin such as tissues, specimens, and cognitive phenomena) in which a researcher directly interacts with human subjects. It includes research on mechanisms of human disease, therapeutic interventions, clinical trials, and development of new technologies, but does not include in vitro studies using human tissues not linked to a living individual. Studies falling under </w:t>
            </w:r>
            <w:hyperlink r:id="rId20" w:anchor="46.101" w:history="1">
              <w:r w:rsidR="000F5B3B">
                <w:rPr>
                  <w:rStyle w:val="Hyperlink"/>
                </w:rPr>
                <w:t>45 CFR 46.101(b) (4)</w:t>
              </w:r>
            </w:hyperlink>
            <w:r w:rsidR="000F5B3B">
              <w:t xml:space="preserve"> </w:t>
            </w:r>
            <w:r w:rsidRPr="00B23CFA">
              <w:t xml:space="preserve">are not </w:t>
            </w:r>
            <w:r w:rsidRPr="00B23CFA">
              <w:lastRenderedPageBreak/>
              <w:t>considered clinical research for purposes of this definition.</w:t>
            </w:r>
          </w:p>
        </w:tc>
      </w:tr>
      <w:tr w:rsidR="00523100" w14:paraId="1E25DCD1" w14:textId="77777777" w:rsidTr="000679A9">
        <w:tc>
          <w:tcPr>
            <w:tcW w:w="1584" w:type="dxa"/>
          </w:tcPr>
          <w:p w14:paraId="7BA813D1" w14:textId="77777777" w:rsidR="00523100" w:rsidRDefault="00523100" w:rsidP="00A33917">
            <w:pPr>
              <w:pStyle w:val="CROMSTableParameters"/>
            </w:pPr>
            <w:r>
              <w:lastRenderedPageBreak/>
              <w:t>Clinical Trial</w:t>
            </w:r>
            <w:r w:rsidR="00C43238">
              <w:t xml:space="preserve"> evaluating a drug, device or biologic </w:t>
            </w:r>
          </w:p>
        </w:tc>
        <w:tc>
          <w:tcPr>
            <w:tcW w:w="8154" w:type="dxa"/>
          </w:tcPr>
          <w:p w14:paraId="7A0D32D5" w14:textId="77777777" w:rsidR="00523100" w:rsidRPr="004E3A2F" w:rsidRDefault="00523100" w:rsidP="00A33917">
            <w:pPr>
              <w:pStyle w:val="CROMSTableParameters"/>
            </w:pPr>
            <w:r w:rsidRPr="004E3A2F">
              <w:t xml:space="preserve">A </w:t>
            </w:r>
            <w:r w:rsidR="00013C92">
              <w:t>controlled study involving human subjects, designed to evaluate prospectively the safety and effectiveness of new drugs or devices</w:t>
            </w:r>
            <w:r w:rsidR="000F5B3B">
              <w:t xml:space="preserve"> </w:t>
            </w:r>
            <w:r w:rsidR="00013C92">
              <w:t>[</w:t>
            </w:r>
            <w:hyperlink r:id="rId21" w:history="1">
              <w:r w:rsidR="00013C92" w:rsidRPr="00A82613">
                <w:rPr>
                  <w:rStyle w:val="Hyperlink"/>
                  <w:rFonts w:cs="Arial"/>
                </w:rPr>
                <w:t>http://www.hhs.gov/ohrp/archive/irb/irb_chapter5.htm</w:t>
              </w:r>
            </w:hyperlink>
            <w:r w:rsidR="00013C92">
              <w:t>]</w:t>
            </w:r>
            <w:r w:rsidR="003B37B7">
              <w:t>.</w:t>
            </w:r>
            <w:r w:rsidR="00013C92">
              <w:t xml:space="preserve"> Drugs include any chemical compound that may be used on or administered to humans as an aid in</w:t>
            </w:r>
            <w:r w:rsidR="000C61BB">
              <w:t xml:space="preserve"> </w:t>
            </w:r>
            <w:r w:rsidR="00013C92">
              <w:t>t</w:t>
            </w:r>
            <w:r w:rsidR="000C61BB">
              <w:t>h</w:t>
            </w:r>
            <w:r w:rsidR="00013C92">
              <w:t xml:space="preserve">e diagnosis, treatment, cure, mitigation, or prevention of disease or abnormal </w:t>
            </w:r>
            <w:r w:rsidR="00013C92" w:rsidRPr="008E2124">
              <w:t xml:space="preserve">conditions. </w:t>
            </w:r>
            <w:r w:rsidR="00013C92">
              <w:t xml:space="preserve">Testing of drugs in humans proceeds through different phases: </w:t>
            </w:r>
          </w:p>
          <w:p w14:paraId="67640399" w14:textId="77777777" w:rsidR="00523100" w:rsidRPr="004E3A2F" w:rsidRDefault="00523100" w:rsidP="00A33917">
            <w:pPr>
              <w:pStyle w:val="CROMSTableParameters"/>
            </w:pPr>
            <w:r w:rsidRPr="004E3A2F">
              <w:t>Phase I</w:t>
            </w:r>
            <w:r w:rsidR="004963AE">
              <w:t>:</w:t>
            </w:r>
            <w:r w:rsidRPr="004E3A2F">
              <w:t xml:space="preserve"> Testing in a small </w:t>
            </w:r>
            <w:r w:rsidR="00013C92">
              <w:t>number of subjects</w:t>
            </w:r>
            <w:r w:rsidRPr="004E3A2F">
              <w:t xml:space="preserve"> (e.g.</w:t>
            </w:r>
            <w:r w:rsidR="004D3D50">
              <w:t>,</w:t>
            </w:r>
            <w:r w:rsidRPr="004E3A2F">
              <w:t xml:space="preserve"> 20-80) to </w:t>
            </w:r>
            <w:r w:rsidR="00013C92">
              <w:t>evaluate its safety</w:t>
            </w:r>
            <w:r w:rsidR="00800B48">
              <w:t xml:space="preserve">, determine a safe dosage range, and identify side effects. </w:t>
            </w:r>
          </w:p>
          <w:p w14:paraId="02EAE5EB" w14:textId="77777777" w:rsidR="00523100" w:rsidRPr="004E3A2F" w:rsidRDefault="00523100" w:rsidP="00A33917">
            <w:pPr>
              <w:pStyle w:val="CROMSTableParameters"/>
            </w:pPr>
            <w:r w:rsidRPr="004E3A2F">
              <w:t>Phase II</w:t>
            </w:r>
            <w:r w:rsidR="004963AE">
              <w:t>:</w:t>
            </w:r>
            <w:r w:rsidRPr="004E3A2F">
              <w:t xml:space="preserve"> Study in a larger group of people (</w:t>
            </w:r>
            <w:r w:rsidR="00800B48">
              <w:t xml:space="preserve">no more than </w:t>
            </w:r>
            <w:r w:rsidRPr="004E3A2F">
              <w:t xml:space="preserve">several hundred) to determine </w:t>
            </w:r>
            <w:r w:rsidR="00800B48">
              <w:t xml:space="preserve">preliminary </w:t>
            </w:r>
            <w:r w:rsidRPr="004E3A2F">
              <w:t xml:space="preserve">efficacy </w:t>
            </w:r>
            <w:r w:rsidR="00800B48">
              <w:t>for a partic</w:t>
            </w:r>
            <w:r w:rsidR="000C61BB">
              <w:t>u</w:t>
            </w:r>
            <w:r w:rsidR="00800B48">
              <w:t xml:space="preserve">lar indication </w:t>
            </w:r>
            <w:r w:rsidRPr="004E3A2F">
              <w:t>and further evaluate safety</w:t>
            </w:r>
            <w:r w:rsidR="00800B48">
              <w:t xml:space="preserve"> by determining the common short-term side effects and risks associated with the drug. </w:t>
            </w:r>
          </w:p>
          <w:p w14:paraId="088319FA" w14:textId="77777777" w:rsidR="00523100" w:rsidRPr="004E3A2F" w:rsidRDefault="00523100" w:rsidP="00A33917">
            <w:pPr>
              <w:pStyle w:val="CROMSTableParameters"/>
            </w:pPr>
            <w:r w:rsidRPr="004E3A2F">
              <w:t>Phase III</w:t>
            </w:r>
            <w:r w:rsidR="004963AE">
              <w:t>:</w:t>
            </w:r>
            <w:r w:rsidRPr="004E3A2F">
              <w:t xml:space="preserve"> Study in </w:t>
            </w:r>
            <w:r w:rsidR="004963AE">
              <w:t xml:space="preserve">a </w:t>
            </w:r>
            <w:r w:rsidRPr="004E3A2F">
              <w:t>large</w:t>
            </w:r>
            <w:r w:rsidR="004963AE">
              <w:t>r number of subjects</w:t>
            </w:r>
            <w:r w:rsidRPr="004E3A2F">
              <w:t xml:space="preserve"> (from several hundred to several thousand) </w:t>
            </w:r>
            <w:r w:rsidR="004963AE">
              <w:t xml:space="preserve">to confirm a drug’s efficacy, to determine its safety, and to </w:t>
            </w:r>
            <w:r w:rsidRPr="004E3A2F">
              <w:t>compar</w:t>
            </w:r>
            <w:r w:rsidR="004963AE">
              <w:t>e</w:t>
            </w:r>
            <w:r w:rsidRPr="004E3A2F">
              <w:t xml:space="preserve"> the intervention to </w:t>
            </w:r>
            <w:r w:rsidR="004963AE">
              <w:t>commonly used treatments.</w:t>
            </w:r>
          </w:p>
          <w:p w14:paraId="288848BE" w14:textId="77777777" w:rsidR="009A1481" w:rsidRDefault="00523100" w:rsidP="00257A01">
            <w:pPr>
              <w:pStyle w:val="CROMSTableParameters"/>
            </w:pPr>
            <w:r w:rsidRPr="004E3A2F">
              <w:t>Phase IV</w:t>
            </w:r>
            <w:r w:rsidR="004963AE">
              <w:t>:</w:t>
            </w:r>
            <w:r w:rsidRPr="004E3A2F">
              <w:t xml:space="preserve"> Studies done after the </w:t>
            </w:r>
            <w:r w:rsidR="004963AE">
              <w:t>drug</w:t>
            </w:r>
            <w:r w:rsidRPr="004E3A2F">
              <w:t xml:space="preserve"> has been marketed. These studies are designed to monitor the effectiveness of the approved intervention in the general population and to collect information about any adverse effects associated with widespread </w:t>
            </w:r>
            <w:r w:rsidR="004963AE">
              <w:t xml:space="preserve">and long-term </w:t>
            </w:r>
            <w:r w:rsidRPr="004E3A2F">
              <w:t>use.</w:t>
            </w:r>
          </w:p>
          <w:p w14:paraId="0F5B5EFC" w14:textId="77777777" w:rsidR="009A1481" w:rsidRDefault="008E2124" w:rsidP="00257A01">
            <w:pPr>
              <w:pStyle w:val="CROMSTableParameters"/>
            </w:pPr>
            <w:r>
              <w:t>Devices encompass a broad range of medical products and product development stages may vary according to device.  If NIDCR support is sought, discussion should begin with program and OC</w:t>
            </w:r>
            <w:r w:rsidR="00B7166D">
              <w:t>T</w:t>
            </w:r>
            <w:r>
              <w:t xml:space="preserve">OM at an early stage to outline NIDCR expectations. </w:t>
            </w:r>
          </w:p>
          <w:p w14:paraId="3F579618" w14:textId="77777777" w:rsidR="00954DA3" w:rsidRDefault="00954DA3" w:rsidP="00257A01">
            <w:pPr>
              <w:pStyle w:val="CROMSTableParameters"/>
            </w:pPr>
            <w:r>
              <w:t>See Appendix D for details on behavioral interventions.</w:t>
            </w:r>
          </w:p>
        </w:tc>
      </w:tr>
      <w:tr w:rsidR="00011178" w14:paraId="769C2CE5" w14:textId="77777777" w:rsidTr="000679A9">
        <w:tc>
          <w:tcPr>
            <w:tcW w:w="1584" w:type="dxa"/>
          </w:tcPr>
          <w:p w14:paraId="2D9501AA" w14:textId="77777777" w:rsidR="00011178" w:rsidRDefault="00011178" w:rsidP="00A33917">
            <w:pPr>
              <w:pStyle w:val="CROMSTableParameters"/>
            </w:pPr>
            <w:r>
              <w:t xml:space="preserve">Clinical Trial evaluating a behavioral Intervention </w:t>
            </w:r>
          </w:p>
        </w:tc>
        <w:tc>
          <w:tcPr>
            <w:tcW w:w="8118" w:type="dxa"/>
          </w:tcPr>
          <w:p w14:paraId="486D9207" w14:textId="77777777" w:rsidR="00DF1631" w:rsidRPr="00564E08" w:rsidRDefault="00DF1631" w:rsidP="00A33917">
            <w:pPr>
              <w:pStyle w:val="CROMSTableParameters"/>
            </w:pPr>
            <w:r w:rsidRPr="00564E08">
              <w:t xml:space="preserve">A controlled study involving human subjects, designed to test a well-characterized behavioral intervention and evaluate prospectively the </w:t>
            </w:r>
            <w:r>
              <w:t xml:space="preserve">efficacy or </w:t>
            </w:r>
            <w:r w:rsidRPr="00564E08">
              <w:t xml:space="preserve">effectiveness of the behavioral or psychosocial intervention on behavioral or social targets relevant to public health.  “Behavioral intervention” is a broad term that describes an approach to preventing, maintaining or changing behavior </w:t>
            </w:r>
            <w:r>
              <w:t xml:space="preserve">of individuals or groups </w:t>
            </w:r>
            <w:r w:rsidRPr="00564E08">
              <w:t xml:space="preserve">through the use of non-medical or non-pharmaceutical techniques. Behavioral intervention clinical trials proceed through different phases, typically called “stages” to distinguish them from drug or device trials: </w:t>
            </w:r>
          </w:p>
          <w:p w14:paraId="2E87E405" w14:textId="77777777" w:rsidR="00DF1631" w:rsidRDefault="00DF1631" w:rsidP="00A33917">
            <w:pPr>
              <w:pStyle w:val="CROMSTableParameters"/>
            </w:pPr>
            <w:r w:rsidRPr="00564E08">
              <w:t xml:space="preserve">Stage I(a): Define the clinical problem of </w:t>
            </w:r>
            <w:proofErr w:type="gramStart"/>
            <w:r w:rsidRPr="00564E08">
              <w:t>interest, and</w:t>
            </w:r>
            <w:proofErr w:type="gramEnd"/>
            <w:r w:rsidRPr="00564E08">
              <w:t xml:space="preserve"> define the rationale for why </w:t>
            </w:r>
            <w:r w:rsidRPr="00564E08">
              <w:lastRenderedPageBreak/>
              <w:t>the intervention is expected to address the problem, including identifying proposed mediators and moderators. The main product of this stage is a draft behavioral intervention that is described in sufficient detail</w:t>
            </w:r>
            <w:r w:rsidR="000C2E7E">
              <w:t xml:space="preserve"> – t</w:t>
            </w:r>
            <w:r w:rsidRPr="00564E08">
              <w:t>ypically in an intervention manual</w:t>
            </w:r>
            <w:r w:rsidR="000C2E7E">
              <w:t xml:space="preserve"> – </w:t>
            </w:r>
            <w:r w:rsidRPr="00564E08">
              <w:t xml:space="preserve">so that it can be delivered as intended. </w:t>
            </w:r>
          </w:p>
          <w:p w14:paraId="2E43669D" w14:textId="77777777" w:rsidR="00DF1631" w:rsidRPr="00564E08" w:rsidRDefault="00DF1631" w:rsidP="00A33917">
            <w:pPr>
              <w:pStyle w:val="CROMSTableParameters"/>
            </w:pPr>
            <w:r w:rsidRPr="00564E08">
              <w:t xml:space="preserve">Stage I(b): Test the intervention for acceptability to the target population and to the intended </w:t>
            </w:r>
            <w:proofErr w:type="gramStart"/>
            <w:r w:rsidRPr="00564E08">
              <w:t>interventionists, and</w:t>
            </w:r>
            <w:proofErr w:type="gramEnd"/>
            <w:r w:rsidRPr="00564E08">
              <w:t xml:space="preserve"> test the feasibility of conducting an efficacy trial in subsequent stages.</w:t>
            </w:r>
          </w:p>
          <w:p w14:paraId="6AC463DC" w14:textId="77777777" w:rsidR="00DF1631" w:rsidRDefault="00DF1631" w:rsidP="00A33917">
            <w:pPr>
              <w:pStyle w:val="CROMSTableParameters"/>
            </w:pPr>
            <w:r w:rsidRPr="00564E08">
              <w:t>Stage II: Test the efficacy of an intervention, and further clarify variables that mediate and moderate the intervention’s effects.</w:t>
            </w:r>
            <w:r w:rsidRPr="00564E08" w:rsidDel="00564E08">
              <w:t xml:space="preserve"> </w:t>
            </w:r>
          </w:p>
          <w:p w14:paraId="0B37CC10" w14:textId="77777777" w:rsidR="00011178" w:rsidRDefault="00DF1631" w:rsidP="00257A01">
            <w:pPr>
              <w:pStyle w:val="CROMSTableParameters"/>
            </w:pPr>
            <w:r w:rsidRPr="00564E08">
              <w:t>Stage III: Prepare and/or adapt an efficacious intervention to be delivered in community (non-research) settings by the end-user interventionists in a sustainable way.</w:t>
            </w:r>
            <w:r w:rsidRPr="00564E08" w:rsidDel="00564E08">
              <w:t xml:space="preserve"> </w:t>
            </w:r>
            <w:r w:rsidRPr="00564E08">
              <w:t xml:space="preserve">Stage III is not meant to be a return to “black box” intervention research, but rather a systematic study of how an intervention can be delivered in a “real world” setting. Rigorous measurement of deviations from </w:t>
            </w:r>
            <w:r>
              <w:t xml:space="preserve">intervention </w:t>
            </w:r>
            <w:r w:rsidRPr="00564E08">
              <w:t>fidelity, and of variables that might affect intervention delivery are expected in this stage.</w:t>
            </w:r>
            <w:r w:rsidRPr="00564E08" w:rsidDel="00564E08">
              <w:rPr>
                <w:rFonts w:asciiTheme="minorHAnsi" w:hAnsiTheme="minorHAnsi"/>
              </w:rPr>
              <w:t xml:space="preserve"> </w:t>
            </w:r>
            <w:r w:rsidR="00564E08" w:rsidRPr="00564E08" w:rsidDel="00564E08">
              <w:rPr>
                <w:rFonts w:asciiTheme="minorHAnsi" w:hAnsiTheme="minorHAnsi"/>
              </w:rPr>
              <w:t xml:space="preserve"> </w:t>
            </w:r>
          </w:p>
        </w:tc>
      </w:tr>
      <w:tr w:rsidR="000911BF" w14:paraId="237CBF14" w14:textId="77777777" w:rsidTr="000679A9">
        <w:tc>
          <w:tcPr>
            <w:tcW w:w="1584" w:type="dxa"/>
          </w:tcPr>
          <w:p w14:paraId="6073380A" w14:textId="77777777" w:rsidR="000911BF" w:rsidRDefault="000911BF" w:rsidP="00A33917">
            <w:pPr>
              <w:pStyle w:val="CROMSTableParameters"/>
            </w:pPr>
            <w:r>
              <w:lastRenderedPageBreak/>
              <w:t>CROMS</w:t>
            </w:r>
          </w:p>
        </w:tc>
        <w:tc>
          <w:tcPr>
            <w:tcW w:w="8118" w:type="dxa"/>
          </w:tcPr>
          <w:p w14:paraId="3F39B25F" w14:textId="77777777" w:rsidR="00A50C4F" w:rsidRDefault="000911BF" w:rsidP="00A33917">
            <w:pPr>
              <w:pStyle w:val="CROMSTableParameters"/>
            </w:pPr>
            <w:r>
              <w:t>Clinical Research Operations and Management S</w:t>
            </w:r>
            <w:r w:rsidR="00A675EB">
              <w:t>upport</w:t>
            </w:r>
            <w:r w:rsidR="00BD14DC">
              <w:t xml:space="preserve"> </w:t>
            </w:r>
            <w:r w:rsidR="00C92AD4">
              <w:t>s</w:t>
            </w:r>
            <w:r w:rsidR="00BD14DC">
              <w:t>ervices</w:t>
            </w:r>
            <w:r w:rsidR="004D400B">
              <w:t xml:space="preserve">. </w:t>
            </w:r>
            <w:r w:rsidR="00BD14DC">
              <w:t xml:space="preserve">The term CROMS is used to identify the </w:t>
            </w:r>
            <w:r w:rsidR="00A50C4F">
              <w:t>NIDCR contractor</w:t>
            </w:r>
            <w:r w:rsidR="00BD14DC">
              <w:t xml:space="preserve"> who provide</w:t>
            </w:r>
            <w:r w:rsidR="00A50C4F">
              <w:t>s</w:t>
            </w:r>
            <w:r w:rsidR="00BD14DC">
              <w:t xml:space="preserve"> operational and research services to </w:t>
            </w:r>
            <w:r w:rsidR="007B4BC5">
              <w:t>I</w:t>
            </w:r>
            <w:r w:rsidR="00BD14DC">
              <w:t xml:space="preserve">ntramural and </w:t>
            </w:r>
            <w:r w:rsidR="007B4BC5">
              <w:t>E</w:t>
            </w:r>
            <w:r w:rsidR="00BD14DC">
              <w:t xml:space="preserve">xtramural supported studies and </w:t>
            </w:r>
            <w:r w:rsidR="00A50C4F">
              <w:t xml:space="preserve">infrastructure support </w:t>
            </w:r>
            <w:r w:rsidR="00BD14DC">
              <w:t>to the Office of Clinical Trials Operations and Management (OCTOM)</w:t>
            </w:r>
            <w:r w:rsidR="00A50C4F">
              <w:t xml:space="preserve">. </w:t>
            </w:r>
          </w:p>
        </w:tc>
      </w:tr>
      <w:tr w:rsidR="00076A7B" w14:paraId="07FFF9EA" w14:textId="77777777" w:rsidTr="000679A9">
        <w:tc>
          <w:tcPr>
            <w:tcW w:w="1584" w:type="dxa"/>
          </w:tcPr>
          <w:p w14:paraId="03BB3092" w14:textId="77777777" w:rsidR="00076A7B" w:rsidRDefault="00076A7B" w:rsidP="00A33917">
            <w:pPr>
              <w:pStyle w:val="CROMSTableParameters"/>
            </w:pPr>
            <w:r>
              <w:t>CSOC</w:t>
            </w:r>
          </w:p>
        </w:tc>
        <w:tc>
          <w:tcPr>
            <w:tcW w:w="8118" w:type="dxa"/>
          </w:tcPr>
          <w:p w14:paraId="3F42FD66" w14:textId="77777777" w:rsidR="00A4750E" w:rsidRDefault="00076A7B" w:rsidP="005D4640">
            <w:pPr>
              <w:pStyle w:val="CROMSTableParameters"/>
            </w:pPr>
            <w:r>
              <w:t>Clinical Study Oversight Committee</w:t>
            </w:r>
            <w:r w:rsidR="00AA346F" w:rsidRPr="00AA346F">
              <w:t xml:space="preserve">. </w:t>
            </w:r>
            <w:r w:rsidR="00AA346F" w:rsidRPr="0030328F">
              <w:t xml:space="preserve">The CSOC is an independent group of experts that </w:t>
            </w:r>
            <w:r w:rsidR="00A4750E" w:rsidRPr="00A4750E">
              <w:t xml:space="preserve">makes recommendations to NIDCR, and through NIDCR to the study investigators on clinical studies not involving an intervention. </w:t>
            </w:r>
            <w:r w:rsidR="00AA346F" w:rsidRPr="0030328F">
              <w:t xml:space="preserve">Such clinical research studies may be complex, involve risk or vulnerable populations, and may be observational, specimen collection, epidemiology or surveillance studies. The responsibilities of the CSOC are to 1) monitor human subject safety by reviewing and evaluating the accumulated study data, 2) </w:t>
            </w:r>
            <w:r w:rsidR="005D4640">
              <w:t>evaluate</w:t>
            </w:r>
            <w:r w:rsidR="00AA346F" w:rsidRPr="0030328F">
              <w:t xml:space="preserve"> study conduct and progress, and 3) make recommendations to NIDCR concerning the continuation, modification, or termination of the study. The CSOC considers study-specific data as well as relevant background information about the disease, procedures and progress of the study.</w:t>
            </w:r>
          </w:p>
        </w:tc>
      </w:tr>
      <w:tr w:rsidR="0019486A" w14:paraId="79AC2E68" w14:textId="77777777" w:rsidTr="000679A9">
        <w:tc>
          <w:tcPr>
            <w:tcW w:w="1584" w:type="dxa"/>
          </w:tcPr>
          <w:p w14:paraId="022340E8" w14:textId="77777777" w:rsidR="0019486A" w:rsidRDefault="0019486A" w:rsidP="00A33917">
            <w:pPr>
              <w:pStyle w:val="CROMSTableParameters"/>
            </w:pPr>
            <w:proofErr w:type="spellStart"/>
            <w:r>
              <w:t>CToA</w:t>
            </w:r>
            <w:proofErr w:type="spellEnd"/>
          </w:p>
        </w:tc>
        <w:tc>
          <w:tcPr>
            <w:tcW w:w="8118" w:type="dxa"/>
          </w:tcPr>
          <w:p w14:paraId="1D7DAEEB" w14:textId="77777777" w:rsidR="00AA346F" w:rsidRDefault="0019486A" w:rsidP="00A33917">
            <w:pPr>
              <w:pStyle w:val="CROMSTableParameters"/>
            </w:pPr>
            <w:r>
              <w:t>Clinical Terms of Award</w:t>
            </w:r>
            <w:r w:rsidR="00B65538" w:rsidRPr="0030328F">
              <w:t>.  A term and condition of grant/cooperative agreement award</w:t>
            </w:r>
            <w:r w:rsidR="007B5844">
              <w:t>s</w:t>
            </w:r>
            <w:r w:rsidR="00B65538" w:rsidRPr="0030328F">
              <w:t xml:space="preserve">, the purpose of which is to ensure that all clinical research and trials involving </w:t>
            </w:r>
            <w:r w:rsidR="00F7603C">
              <w:t xml:space="preserve"> </w:t>
            </w:r>
            <w:hyperlink r:id="rId22" w:history="1">
              <w:r w:rsidR="005B0167" w:rsidRPr="005B0167">
                <w:rPr>
                  <w:rStyle w:val="Hyperlink"/>
                  <w:rFonts w:cs="Arial"/>
                </w:rPr>
                <w:t>human subjects</w:t>
              </w:r>
            </w:hyperlink>
            <w:r w:rsidR="00B65538" w:rsidRPr="0030328F">
              <w:t xml:space="preserve"> and conducted under grants and cooperative </w:t>
            </w:r>
            <w:r w:rsidR="00B65538" w:rsidRPr="0030328F">
              <w:lastRenderedPageBreak/>
              <w:t>agreements supported by NIDCR are well designed, conducted with rigor, monitored commensurate with risk and complexity, and that the Institute is kept informed of study progress through reporting.</w:t>
            </w:r>
          </w:p>
        </w:tc>
      </w:tr>
      <w:tr w:rsidR="00AF4CC0" w14:paraId="0279D8B8" w14:textId="77777777" w:rsidTr="000679A9">
        <w:tc>
          <w:tcPr>
            <w:tcW w:w="1584" w:type="dxa"/>
          </w:tcPr>
          <w:p w14:paraId="5D7D5619" w14:textId="77777777" w:rsidR="00AF4CC0" w:rsidRPr="00AF4CC0" w:rsidRDefault="00FF33B9" w:rsidP="00FF33B9">
            <w:pPr>
              <w:pStyle w:val="CROMSTableParameters"/>
            </w:pPr>
            <w:r>
              <w:lastRenderedPageBreak/>
              <w:t>DCC</w:t>
            </w:r>
          </w:p>
        </w:tc>
        <w:tc>
          <w:tcPr>
            <w:tcW w:w="8118" w:type="dxa"/>
          </w:tcPr>
          <w:p w14:paraId="2C5CE2E9" w14:textId="77777777" w:rsidR="00AA346F" w:rsidRPr="00AF4CC0" w:rsidRDefault="00C80DBE" w:rsidP="00FF33B9">
            <w:pPr>
              <w:pStyle w:val="CROMSTableParameters"/>
            </w:pPr>
            <w:r>
              <w:t xml:space="preserve">Data </w:t>
            </w:r>
            <w:r w:rsidR="00FF33B9">
              <w:t xml:space="preserve">Coordinating </w:t>
            </w:r>
            <w:r>
              <w:t>Center (This may be CROMS or another group</w:t>
            </w:r>
            <w:r w:rsidR="00324E03">
              <w:t>.</w:t>
            </w:r>
            <w:r>
              <w:t>)</w:t>
            </w:r>
            <w:r w:rsidR="00FA4DE9">
              <w:t xml:space="preserve">  Synonym: data </w:t>
            </w:r>
            <w:r w:rsidR="00FF33B9">
              <w:t xml:space="preserve">management </w:t>
            </w:r>
            <w:r w:rsidR="00FA4DE9">
              <w:t>center (</w:t>
            </w:r>
            <w:r w:rsidR="00FF33B9">
              <w:t>DMC</w:t>
            </w:r>
            <w:r w:rsidR="00FA4DE9">
              <w:t>).</w:t>
            </w:r>
          </w:p>
        </w:tc>
      </w:tr>
      <w:tr w:rsidR="00C43238" w14:paraId="57925FC9" w14:textId="77777777" w:rsidTr="000679A9">
        <w:tc>
          <w:tcPr>
            <w:tcW w:w="1584" w:type="dxa"/>
          </w:tcPr>
          <w:p w14:paraId="177BB6AE" w14:textId="77777777" w:rsidR="00C43238" w:rsidRDefault="00C43238" w:rsidP="00A33917">
            <w:pPr>
              <w:pStyle w:val="CROMSTableParameters"/>
            </w:pPr>
            <w:r>
              <w:t>Device</w:t>
            </w:r>
          </w:p>
        </w:tc>
        <w:tc>
          <w:tcPr>
            <w:tcW w:w="8118" w:type="dxa"/>
          </w:tcPr>
          <w:p w14:paraId="001BEEA9" w14:textId="77777777" w:rsidR="00A33917" w:rsidRDefault="00A33917" w:rsidP="00A33917">
            <w:pPr>
              <w:pStyle w:val="CROMSTableParameters"/>
            </w:pPr>
            <w:r>
              <w:t>A</w:t>
            </w:r>
            <w:r w:rsidRPr="00C43238">
              <w:t>n instrument, apparatus, implement, machine, contrivance, implant, in vitro reagent, or other similar or related article, including any component, part, or accessory, which</w:t>
            </w:r>
            <w:r>
              <w:t xml:space="preserve"> is</w:t>
            </w:r>
            <w:r w:rsidR="00E12C6A">
              <w:t>--</w:t>
            </w:r>
          </w:p>
          <w:p w14:paraId="4A9F6B69" w14:textId="77777777" w:rsidR="00A33917" w:rsidRDefault="00A33917" w:rsidP="00257A01">
            <w:pPr>
              <w:pStyle w:val="CROMSTableParameters"/>
            </w:pPr>
            <w:r>
              <w:t xml:space="preserve">(1) </w:t>
            </w:r>
            <w:r w:rsidRPr="00C43238">
              <w:t>recognized in the official National Formulary, or the United States Pharmacopeia, or any supplement to them,</w:t>
            </w:r>
          </w:p>
          <w:p w14:paraId="60E886D1" w14:textId="77777777" w:rsidR="00A33917" w:rsidRDefault="00A33917" w:rsidP="00257A01">
            <w:pPr>
              <w:pStyle w:val="CROMSTableParameters"/>
            </w:pPr>
            <w:r w:rsidRPr="00C43238">
              <w:t>(2) intended for use in the diagnosis of disease or other conditions, or in the cure, mitigation, treatment, or prevention of disease, in man or other animals, or</w:t>
            </w:r>
          </w:p>
          <w:p w14:paraId="5388E8D3" w14:textId="77777777" w:rsidR="00A33917" w:rsidRDefault="00A33917" w:rsidP="00257A01">
            <w:pPr>
              <w:pStyle w:val="CROMSTableParameters"/>
            </w:pPr>
            <w:r w:rsidRPr="00C43238">
              <w:t>(3) intended to affect the structure or any function of the body of man or other animals, and</w:t>
            </w:r>
          </w:p>
          <w:p w14:paraId="4658CBE1" w14:textId="77777777" w:rsidR="00C43238" w:rsidRDefault="00257A01" w:rsidP="00E12C6A">
            <w:pPr>
              <w:pStyle w:val="CROMSTableParameters"/>
            </w:pPr>
            <w:r w:rsidRPr="00C43238">
              <w:t>which does not achieve its primary intended purposes through chemical action within or on the body of man or other animals and which is not dependent upon being metabolized for the achievement of its primary intended purposes.</w:t>
            </w:r>
          </w:p>
        </w:tc>
      </w:tr>
      <w:tr w:rsidR="00C43238" w14:paraId="527C07A7" w14:textId="77777777" w:rsidTr="000679A9">
        <w:tc>
          <w:tcPr>
            <w:tcW w:w="1584" w:type="dxa"/>
          </w:tcPr>
          <w:p w14:paraId="25719530" w14:textId="77777777" w:rsidR="00C43238" w:rsidRDefault="00C43238" w:rsidP="00257A01">
            <w:pPr>
              <w:pStyle w:val="CROMSTableParameters"/>
            </w:pPr>
            <w:r>
              <w:t>Drug</w:t>
            </w:r>
          </w:p>
        </w:tc>
        <w:tc>
          <w:tcPr>
            <w:tcW w:w="8118" w:type="dxa"/>
          </w:tcPr>
          <w:p w14:paraId="11750CE2" w14:textId="77777777" w:rsidR="00C43238" w:rsidRPr="00C43238" w:rsidRDefault="00C43238" w:rsidP="00257A01">
            <w:pPr>
              <w:pStyle w:val="CROMSTableParameters"/>
            </w:pPr>
            <w:r w:rsidRPr="00C43238">
              <w:t>(A) articles recognized in the official United States Pharmacopoeia, official Homoeopathic Pharmacopoeia of the United States, or official National Formulary, or any supplement to any of them; and (B) articles intended for use in the diagnosis, cure, mitigation, treatment, or prevention of disease in man or other animals; and (C) articles (other than food) intended to affect the structure or any function of the body of man or other animals; and (D) articles intended for use as a component of any articles specified in clause (A), (B), or (C).</w:t>
            </w:r>
          </w:p>
        </w:tc>
      </w:tr>
      <w:tr w:rsidR="004B017C" w14:paraId="00ED8622" w14:textId="77777777" w:rsidTr="000679A9">
        <w:tc>
          <w:tcPr>
            <w:tcW w:w="1584" w:type="dxa"/>
          </w:tcPr>
          <w:p w14:paraId="7B3E6B6E" w14:textId="77777777" w:rsidR="004B017C" w:rsidRDefault="004B017C" w:rsidP="00257A01">
            <w:pPr>
              <w:pStyle w:val="CROMSTableParameters"/>
            </w:pPr>
            <w:r>
              <w:t xml:space="preserve">DSMB </w:t>
            </w:r>
          </w:p>
        </w:tc>
        <w:tc>
          <w:tcPr>
            <w:tcW w:w="8118" w:type="dxa"/>
          </w:tcPr>
          <w:p w14:paraId="24AC4C08" w14:textId="77777777" w:rsidR="004B017C" w:rsidRDefault="004B017C" w:rsidP="00A4750E">
            <w:pPr>
              <w:pStyle w:val="CROMSTableParameters"/>
            </w:pPr>
            <w:r>
              <w:t>Data and Safety Monitoring Board</w:t>
            </w:r>
            <w:r w:rsidR="008D2C7B">
              <w:t xml:space="preserve">. The DSMB is </w:t>
            </w:r>
            <w:r w:rsidR="008D2C7B" w:rsidRPr="008D2C7B">
              <w:t xml:space="preserve">an independent group of experts that </w:t>
            </w:r>
            <w:r w:rsidR="00A4750E" w:rsidRPr="00A4750E">
              <w:t xml:space="preserve">makes recommendations to NIDCR, and through NIDCR to the study investigators. </w:t>
            </w:r>
            <w:r w:rsidR="008D2C7B" w:rsidRPr="008D2C7B">
              <w:t>The primary responsibilities of the DSMB are to 1) periodically review and evaluate the accumulated study data for participant safety, study conduct and progress, and, when appropriate, efficacy, and 2) make recommendations to NIDCR concerning the continuation, modification, or termination of the trial. The DSMB considers study-specific data as well as relevant background knowledge about the disease, test agent, or patient population under study.</w:t>
            </w:r>
          </w:p>
        </w:tc>
      </w:tr>
      <w:tr w:rsidR="00AF4CC0" w14:paraId="1C5B0D28" w14:textId="77777777" w:rsidTr="000679A9">
        <w:tc>
          <w:tcPr>
            <w:tcW w:w="1584" w:type="dxa"/>
          </w:tcPr>
          <w:p w14:paraId="333F74CF" w14:textId="77777777" w:rsidR="00AF4CC0" w:rsidRPr="00AF4CC0" w:rsidRDefault="00DF0511" w:rsidP="00257A01">
            <w:pPr>
              <w:pStyle w:val="CROMSTableParameters"/>
            </w:pPr>
            <w:r>
              <w:lastRenderedPageBreak/>
              <w:t>FDA</w:t>
            </w:r>
          </w:p>
        </w:tc>
        <w:tc>
          <w:tcPr>
            <w:tcW w:w="8118" w:type="dxa"/>
          </w:tcPr>
          <w:p w14:paraId="2470F45B" w14:textId="77777777" w:rsidR="00AA346F" w:rsidRPr="00AF4CC0" w:rsidRDefault="00DF0511" w:rsidP="00257A01">
            <w:pPr>
              <w:pStyle w:val="CROMSTableParameters"/>
            </w:pPr>
            <w:r>
              <w:t>Food and Drug Administration</w:t>
            </w:r>
          </w:p>
        </w:tc>
      </w:tr>
      <w:tr w:rsidR="004B017C" w14:paraId="562E02B3" w14:textId="77777777" w:rsidTr="000679A9">
        <w:tc>
          <w:tcPr>
            <w:tcW w:w="1584" w:type="dxa"/>
          </w:tcPr>
          <w:p w14:paraId="6C147B4D" w14:textId="77777777" w:rsidR="004B017C" w:rsidRDefault="004B017C" w:rsidP="00257A01">
            <w:pPr>
              <w:pStyle w:val="CROMSTableParameters"/>
            </w:pPr>
            <w:r>
              <w:t>GCP</w:t>
            </w:r>
          </w:p>
        </w:tc>
        <w:tc>
          <w:tcPr>
            <w:tcW w:w="8118" w:type="dxa"/>
          </w:tcPr>
          <w:p w14:paraId="68CB3145" w14:textId="77777777" w:rsidR="004B017C" w:rsidRDefault="004B017C" w:rsidP="00257A01">
            <w:pPr>
              <w:pStyle w:val="CROMSTableParameters"/>
            </w:pPr>
            <w:r>
              <w:t>Good Clinical Practice</w:t>
            </w:r>
            <w:r w:rsidR="00093ABE">
              <w:t xml:space="preserve">. </w:t>
            </w:r>
            <w:r w:rsidR="007B4BC5">
              <w:t xml:space="preserve">From the International Conference on </w:t>
            </w:r>
            <w:proofErr w:type="spellStart"/>
            <w:r w:rsidR="007B4BC5">
              <w:t>Harmonisation</w:t>
            </w:r>
            <w:proofErr w:type="spellEnd"/>
            <w:r w:rsidR="007B4BC5">
              <w:t xml:space="preserve"> (ICH)</w:t>
            </w:r>
            <w:r w:rsidR="003E7341">
              <w:t xml:space="preserve"> guidance, GCP is a</w:t>
            </w:r>
            <w:r w:rsidR="00093ABE" w:rsidRPr="00093ABE">
              <w:t xml:space="preserve"> standard for the design, conduct, performance, monitoring, auditing, recording, analyses, and reporting of clinical trials that provides assurance that the data and reported results are credible and accurate, and that the rights, integrity, and confidentiality of trial subjects are protected.</w:t>
            </w:r>
          </w:p>
        </w:tc>
      </w:tr>
      <w:tr w:rsidR="00257A01" w14:paraId="6CBC7E1B" w14:textId="77777777" w:rsidTr="000679A9">
        <w:tc>
          <w:tcPr>
            <w:tcW w:w="1584" w:type="dxa"/>
          </w:tcPr>
          <w:p w14:paraId="3E2A76AD" w14:textId="77777777" w:rsidR="00257A01" w:rsidRDefault="00257A01" w:rsidP="00257A01">
            <w:pPr>
              <w:pStyle w:val="CROMSTableParameters"/>
            </w:pPr>
            <w:r>
              <w:t>ICH</w:t>
            </w:r>
          </w:p>
        </w:tc>
        <w:tc>
          <w:tcPr>
            <w:tcW w:w="8118" w:type="dxa"/>
          </w:tcPr>
          <w:p w14:paraId="7E17A907" w14:textId="77777777" w:rsidR="00257A01" w:rsidRDefault="00257A01" w:rsidP="00257A01">
            <w:pPr>
              <w:pStyle w:val="CROMSTableParameters"/>
            </w:pPr>
            <w:r>
              <w:t>International Conference</w:t>
            </w:r>
            <w:r w:rsidR="003E7341">
              <w:t xml:space="preserve"> on </w:t>
            </w:r>
            <w:proofErr w:type="spellStart"/>
            <w:r w:rsidR="003E7341">
              <w:t>Harmonisation</w:t>
            </w:r>
            <w:proofErr w:type="spellEnd"/>
            <w:r>
              <w:t xml:space="preserve"> </w:t>
            </w:r>
          </w:p>
        </w:tc>
      </w:tr>
      <w:tr w:rsidR="00F2709C" w14:paraId="03583DA9" w14:textId="77777777" w:rsidTr="000679A9">
        <w:tc>
          <w:tcPr>
            <w:tcW w:w="1584" w:type="dxa"/>
          </w:tcPr>
          <w:p w14:paraId="163EC8B9" w14:textId="77777777" w:rsidR="00F2709C" w:rsidRDefault="00F2709C" w:rsidP="00257A01">
            <w:pPr>
              <w:pStyle w:val="CROMSTableParameters"/>
            </w:pPr>
            <w:r>
              <w:t>IDE</w:t>
            </w:r>
          </w:p>
        </w:tc>
        <w:tc>
          <w:tcPr>
            <w:tcW w:w="8118" w:type="dxa"/>
          </w:tcPr>
          <w:p w14:paraId="01A71EE1" w14:textId="77777777" w:rsidR="00AA346F" w:rsidRDefault="00F2709C" w:rsidP="00257A01">
            <w:pPr>
              <w:pStyle w:val="CROMSTableParameters"/>
            </w:pPr>
            <w:r>
              <w:t>Investigational Device Exemption</w:t>
            </w:r>
          </w:p>
        </w:tc>
      </w:tr>
      <w:tr w:rsidR="00AF4CC0" w14:paraId="0F9A12F0" w14:textId="77777777" w:rsidTr="000679A9">
        <w:tc>
          <w:tcPr>
            <w:tcW w:w="1584" w:type="dxa"/>
          </w:tcPr>
          <w:p w14:paraId="6B423E68" w14:textId="77777777" w:rsidR="00AF4CC0" w:rsidRPr="00AF4CC0" w:rsidRDefault="00DF0511" w:rsidP="00257A01">
            <w:pPr>
              <w:pStyle w:val="CROMSTableParameters"/>
            </w:pPr>
            <w:r>
              <w:t>IND</w:t>
            </w:r>
          </w:p>
        </w:tc>
        <w:tc>
          <w:tcPr>
            <w:tcW w:w="8118" w:type="dxa"/>
          </w:tcPr>
          <w:p w14:paraId="67610217" w14:textId="77777777" w:rsidR="00AA346F" w:rsidRPr="00AF4CC0" w:rsidRDefault="00DF0511" w:rsidP="00257A01">
            <w:pPr>
              <w:pStyle w:val="CROMSTableParameters"/>
            </w:pPr>
            <w:r>
              <w:t>Investigational New Drug application</w:t>
            </w:r>
          </w:p>
        </w:tc>
      </w:tr>
      <w:tr w:rsidR="004B017C" w14:paraId="1CE9AD0D" w14:textId="77777777" w:rsidTr="000679A9">
        <w:tc>
          <w:tcPr>
            <w:tcW w:w="1584" w:type="dxa"/>
          </w:tcPr>
          <w:p w14:paraId="24D527DA" w14:textId="77777777" w:rsidR="004B017C" w:rsidRDefault="004B017C" w:rsidP="00257A01">
            <w:pPr>
              <w:pStyle w:val="CROMSTableParameters"/>
            </w:pPr>
            <w:r>
              <w:t>IRB</w:t>
            </w:r>
            <w:r w:rsidR="008D2C7B" w:rsidRPr="00B23CFA">
              <w:rPr>
                <w:vertAlign w:val="superscript"/>
              </w:rPr>
              <w:t>1</w:t>
            </w:r>
          </w:p>
        </w:tc>
        <w:tc>
          <w:tcPr>
            <w:tcW w:w="8118" w:type="dxa"/>
          </w:tcPr>
          <w:p w14:paraId="2066A58C" w14:textId="77777777" w:rsidR="004B017C" w:rsidRDefault="004B017C" w:rsidP="00257A01">
            <w:pPr>
              <w:pStyle w:val="CROMSTableParameters"/>
            </w:pPr>
            <w:r>
              <w:t>Institutional Review Board</w:t>
            </w:r>
            <w:r w:rsidR="00341D67">
              <w:t xml:space="preserve">. </w:t>
            </w:r>
            <w:r w:rsidR="00341D67" w:rsidRPr="00341D67">
              <w:t>An administrative body established to protect the rights and welfare of human research subjects recruited to participate in research activities conducted under the auspices of the organization with which it is affiliated. The Institutional Review Board has the authority to approve, require modifications in, or disapprove all research activities that fall within its jurisdiction.</w:t>
            </w:r>
            <w:r w:rsidR="008D2C7B" w:rsidRPr="00B23CFA">
              <w:rPr>
                <w:vertAlign w:val="superscript"/>
              </w:rPr>
              <w:t xml:space="preserve"> </w:t>
            </w:r>
          </w:p>
        </w:tc>
      </w:tr>
      <w:tr w:rsidR="004302FA" w14:paraId="22A7DD63" w14:textId="77777777" w:rsidTr="000679A9">
        <w:tc>
          <w:tcPr>
            <w:tcW w:w="1584" w:type="dxa"/>
          </w:tcPr>
          <w:p w14:paraId="4BA0803F" w14:textId="77777777" w:rsidR="004302FA" w:rsidRDefault="004302FA" w:rsidP="00257A01">
            <w:pPr>
              <w:pStyle w:val="CROMSTableParameters"/>
            </w:pPr>
            <w:r>
              <w:t>ISM</w:t>
            </w:r>
          </w:p>
        </w:tc>
        <w:tc>
          <w:tcPr>
            <w:tcW w:w="8118" w:type="dxa"/>
          </w:tcPr>
          <w:p w14:paraId="6764D763" w14:textId="77777777" w:rsidR="00752A2B" w:rsidRDefault="00A4750E" w:rsidP="002D4384">
            <w:pPr>
              <w:pStyle w:val="CROMSTableParameters"/>
            </w:pPr>
            <w:r>
              <w:t xml:space="preserve">Independent Safety Monitor.  An ISM </w:t>
            </w:r>
            <w:r w:rsidRPr="00A4750E">
              <w:t>is a qualified clinician with relevant expertise whose primary responsibility is to provide independent safety monitoring in a timely fashion. This is accomplished by evaluation of adverse events, immediately after they occur, with follow-up through resolution or stabilization. The ISM evaluates individual and cumulative participant safety data when making recommendations regarding continuation of the study. An ISM could be the sole independent monitor for the study or may perform this role as a member of a DSMB. An ISM is appropriate as the sole independent safety monitor for small, early phase studies of short duration. DSMBs should consider the need to designate one or more members as ISM(s). In the case of DSMBs, the ISM focus may be directed at serious adverse events rather than all adverse events.</w:t>
            </w:r>
          </w:p>
        </w:tc>
      </w:tr>
      <w:tr w:rsidR="00AF4CC0" w:rsidRPr="00997CAD" w14:paraId="1B9CD3EA" w14:textId="77777777" w:rsidTr="000679A9">
        <w:tc>
          <w:tcPr>
            <w:tcW w:w="1584" w:type="dxa"/>
          </w:tcPr>
          <w:p w14:paraId="1CE4F270" w14:textId="77777777" w:rsidR="00AF4CC0" w:rsidRPr="00AF4CC0" w:rsidRDefault="00F2709C" w:rsidP="00257A01">
            <w:pPr>
              <w:pStyle w:val="CROMSTableParameters"/>
            </w:pPr>
            <w:r>
              <w:t>MOP</w:t>
            </w:r>
          </w:p>
        </w:tc>
        <w:tc>
          <w:tcPr>
            <w:tcW w:w="8118" w:type="dxa"/>
          </w:tcPr>
          <w:p w14:paraId="16357381" w14:textId="77777777" w:rsidR="00AA346F" w:rsidRPr="00AF4CC0" w:rsidRDefault="00F2709C" w:rsidP="00257A01">
            <w:pPr>
              <w:pStyle w:val="CROMSTableParameters"/>
            </w:pPr>
            <w:r>
              <w:t>Manual of Procedures</w:t>
            </w:r>
            <w:r w:rsidR="00B65538">
              <w:t>.</w:t>
            </w:r>
            <w:r w:rsidR="00AA346F">
              <w:t xml:space="preserve"> </w:t>
            </w:r>
            <w:r w:rsidR="00B65538" w:rsidRPr="00B65538">
              <w:t>A Manual of Procedures (MOP) is a handbook that guides a study’s conduct and operations. The purpose of the MOP is to facilitate consistency in protocol implementation and data collection across participants and clinical sites.</w:t>
            </w:r>
          </w:p>
        </w:tc>
      </w:tr>
      <w:tr w:rsidR="004D400B" w:rsidRPr="00997CAD" w14:paraId="241D5CAC" w14:textId="77777777" w:rsidTr="000679A9">
        <w:tc>
          <w:tcPr>
            <w:tcW w:w="1584" w:type="dxa"/>
          </w:tcPr>
          <w:p w14:paraId="6A7A6663" w14:textId="77777777" w:rsidR="004D400B" w:rsidRDefault="004D400B" w:rsidP="00257A01">
            <w:pPr>
              <w:pStyle w:val="CROMSTableParameters"/>
            </w:pPr>
            <w:r>
              <w:t>OCTOM</w:t>
            </w:r>
          </w:p>
        </w:tc>
        <w:tc>
          <w:tcPr>
            <w:tcW w:w="8118" w:type="dxa"/>
          </w:tcPr>
          <w:p w14:paraId="74B6CE83" w14:textId="77777777" w:rsidR="00AA346F" w:rsidRDefault="004D400B" w:rsidP="00257A01">
            <w:pPr>
              <w:pStyle w:val="CROMSTableParameters"/>
            </w:pPr>
            <w:r>
              <w:t>NIDCR Office of Clinical Trials Operations and Management</w:t>
            </w:r>
          </w:p>
        </w:tc>
      </w:tr>
      <w:tr w:rsidR="00AF4CC0" w14:paraId="15052B0F" w14:textId="77777777" w:rsidTr="000679A9">
        <w:tc>
          <w:tcPr>
            <w:tcW w:w="1584" w:type="dxa"/>
          </w:tcPr>
          <w:p w14:paraId="1578E750" w14:textId="77777777" w:rsidR="00AF4CC0" w:rsidRPr="00AF4CC0" w:rsidRDefault="00A675EB" w:rsidP="00257A01">
            <w:pPr>
              <w:pStyle w:val="CROMSTableParameters"/>
            </w:pPr>
            <w:r>
              <w:t>PI</w:t>
            </w:r>
          </w:p>
        </w:tc>
        <w:tc>
          <w:tcPr>
            <w:tcW w:w="8118" w:type="dxa"/>
          </w:tcPr>
          <w:p w14:paraId="5A4E9DB6" w14:textId="77777777" w:rsidR="00AA346F" w:rsidRPr="00AF4CC0" w:rsidRDefault="00A675EB" w:rsidP="00257A01">
            <w:pPr>
              <w:pStyle w:val="CROMSTableParameters"/>
            </w:pPr>
            <w:r>
              <w:t xml:space="preserve">Principal Investigator.  </w:t>
            </w:r>
            <w:r w:rsidR="00687B82">
              <w:t>The lead investigator of the study</w:t>
            </w:r>
            <w:r>
              <w:t>.</w:t>
            </w:r>
            <w:r w:rsidR="00F2709C">
              <w:t xml:space="preserve">  </w:t>
            </w:r>
            <w:r w:rsidR="00E4054F">
              <w:t>This</w:t>
            </w:r>
            <w:r w:rsidR="00F2709C">
              <w:t xml:space="preserve"> PI may also be a </w:t>
            </w:r>
            <w:r w:rsidR="00F2709C">
              <w:lastRenderedPageBreak/>
              <w:t xml:space="preserve">site </w:t>
            </w:r>
            <w:r w:rsidR="00B23CFA">
              <w:t>PI.</w:t>
            </w:r>
            <w:r w:rsidR="00AA346F">
              <w:t xml:space="preserve"> This position may also be termed the “Study Director</w:t>
            </w:r>
            <w:r w:rsidR="00DE5A3E">
              <w:t>.</w:t>
            </w:r>
            <w:r w:rsidR="00AA346F">
              <w:t>”</w:t>
            </w:r>
          </w:p>
        </w:tc>
      </w:tr>
      <w:tr w:rsidR="00AF4CC0" w14:paraId="618E3610" w14:textId="77777777" w:rsidTr="000679A9">
        <w:tc>
          <w:tcPr>
            <w:tcW w:w="1584" w:type="dxa"/>
          </w:tcPr>
          <w:p w14:paraId="02518D0F" w14:textId="77777777" w:rsidR="00AF4CC0" w:rsidRPr="00AF4CC0" w:rsidRDefault="00F2709C" w:rsidP="00257A01">
            <w:pPr>
              <w:pStyle w:val="CROMSTableParameters"/>
            </w:pPr>
            <w:r>
              <w:lastRenderedPageBreak/>
              <w:t>QMP</w:t>
            </w:r>
          </w:p>
        </w:tc>
        <w:tc>
          <w:tcPr>
            <w:tcW w:w="8118" w:type="dxa"/>
          </w:tcPr>
          <w:p w14:paraId="0D9D2B2E" w14:textId="77777777" w:rsidR="00AA346F" w:rsidRPr="00AF4CC0" w:rsidRDefault="00F2709C" w:rsidP="00257A01">
            <w:pPr>
              <w:pStyle w:val="CROMSTableParameters"/>
            </w:pPr>
            <w:r>
              <w:t>Quality Management Plan</w:t>
            </w:r>
            <w:r w:rsidR="00B65538">
              <w:t xml:space="preserve">. </w:t>
            </w:r>
            <w:r w:rsidR="00B65538" w:rsidRPr="00B65538">
              <w:t>The quality management plan describes the process designed to ensure compliance with human subject safety, quality and integrity of the data, and compliance with the protocol.</w:t>
            </w:r>
          </w:p>
        </w:tc>
      </w:tr>
      <w:tr w:rsidR="00D41AE5" w14:paraId="229A18EF" w14:textId="77777777" w:rsidTr="000679A9">
        <w:tc>
          <w:tcPr>
            <w:tcW w:w="1584" w:type="dxa"/>
          </w:tcPr>
          <w:p w14:paraId="27BCF70E" w14:textId="77777777" w:rsidR="00D41AE5" w:rsidRDefault="00D41AE5" w:rsidP="00257A01">
            <w:pPr>
              <w:pStyle w:val="CROMSTableParameters"/>
            </w:pPr>
            <w:r>
              <w:t>Site Activation</w:t>
            </w:r>
          </w:p>
        </w:tc>
        <w:tc>
          <w:tcPr>
            <w:tcW w:w="8118" w:type="dxa"/>
          </w:tcPr>
          <w:p w14:paraId="175E9580" w14:textId="77777777" w:rsidR="00AA346F" w:rsidRDefault="00D41AE5" w:rsidP="00257A01">
            <w:pPr>
              <w:pStyle w:val="CROMSTableParameters"/>
            </w:pPr>
            <w:r>
              <w:t xml:space="preserve">The </w:t>
            </w:r>
            <w:r w:rsidR="00C97E75">
              <w:t xml:space="preserve">point in time when all initial requirements have been satisfied and a site may begin to enroll subjects into the study.  The NIDCR Program </w:t>
            </w:r>
            <w:r w:rsidR="00324E03">
              <w:t>O</w:t>
            </w:r>
            <w:r w:rsidR="00C97E75">
              <w:t>fficial, assisted by CROM</w:t>
            </w:r>
            <w:r w:rsidR="004D400B">
              <w:t>S</w:t>
            </w:r>
            <w:r w:rsidR="00C97E75">
              <w:t xml:space="preserve"> and OCTOM, issues the approval for site activation.</w:t>
            </w:r>
          </w:p>
        </w:tc>
      </w:tr>
      <w:tr w:rsidR="00956077" w14:paraId="47E865E5" w14:textId="77777777" w:rsidTr="000679A9">
        <w:tc>
          <w:tcPr>
            <w:tcW w:w="1584" w:type="dxa"/>
          </w:tcPr>
          <w:p w14:paraId="0CBB3C9A" w14:textId="77777777" w:rsidR="00956077" w:rsidRDefault="00956077" w:rsidP="00257A01">
            <w:pPr>
              <w:pStyle w:val="CROMSTableParameters"/>
            </w:pPr>
            <w:r>
              <w:t>Site Initiation Visit</w:t>
            </w:r>
            <w:r w:rsidR="00A2409C">
              <w:t xml:space="preserve"> (SIV)</w:t>
            </w:r>
          </w:p>
        </w:tc>
        <w:tc>
          <w:tcPr>
            <w:tcW w:w="8118" w:type="dxa"/>
          </w:tcPr>
          <w:p w14:paraId="0610A722" w14:textId="77777777" w:rsidR="00AA346F" w:rsidRDefault="00956077" w:rsidP="00257A01">
            <w:pPr>
              <w:pStyle w:val="CROMSTableParameters"/>
            </w:pPr>
            <w:r>
              <w:t xml:space="preserve">The on-site meeting </w:t>
            </w:r>
            <w:r w:rsidR="00D41AE5">
              <w:t xml:space="preserve">designed to prepare the study team for conducting the study.  The meeting includes (at a minimum) </w:t>
            </w:r>
            <w:r>
              <w:t>the PI</w:t>
            </w:r>
            <w:r w:rsidR="00D41AE5">
              <w:t>, other investigators</w:t>
            </w:r>
            <w:r>
              <w:t xml:space="preserve">, site study coordinator, </w:t>
            </w:r>
            <w:r w:rsidR="00D41AE5">
              <w:t xml:space="preserve">other site staff assuming study responsibilities, </w:t>
            </w:r>
            <w:r w:rsidR="00EB0CFA">
              <w:t xml:space="preserve">and data management representative. The Site Initiation Visit may also include </w:t>
            </w:r>
            <w:r w:rsidR="00D41AE5">
              <w:t xml:space="preserve">NIDCR </w:t>
            </w:r>
            <w:r w:rsidR="004669AC">
              <w:t>P</w:t>
            </w:r>
            <w:r w:rsidR="00D41AE5">
              <w:t xml:space="preserve">rogram </w:t>
            </w:r>
            <w:r w:rsidR="004669AC">
              <w:t>O</w:t>
            </w:r>
            <w:r w:rsidR="00D41AE5">
              <w:t>fficial</w:t>
            </w:r>
            <w:r w:rsidR="00EB0CFA">
              <w:t xml:space="preserve"> </w:t>
            </w:r>
            <w:r w:rsidR="000C2E7E">
              <w:t>or representative</w:t>
            </w:r>
            <w:r w:rsidR="00D41AE5">
              <w:t xml:space="preserve">, </w:t>
            </w:r>
            <w:r w:rsidR="00EB0CFA">
              <w:t xml:space="preserve">OCTOM representative, and a </w:t>
            </w:r>
            <w:r w:rsidR="00D41AE5">
              <w:t xml:space="preserve">clinical monitor. </w:t>
            </w:r>
          </w:p>
        </w:tc>
      </w:tr>
      <w:tr w:rsidR="00551179" w14:paraId="51EA5FEA" w14:textId="77777777" w:rsidTr="000679A9">
        <w:tc>
          <w:tcPr>
            <w:tcW w:w="1584" w:type="dxa"/>
          </w:tcPr>
          <w:p w14:paraId="3999D1EA" w14:textId="77777777" w:rsidR="00551179" w:rsidRDefault="00551179" w:rsidP="00257A01">
            <w:pPr>
              <w:pStyle w:val="CROMSTableParameters"/>
            </w:pPr>
            <w:r>
              <w:t xml:space="preserve">Site PI </w:t>
            </w:r>
          </w:p>
        </w:tc>
        <w:tc>
          <w:tcPr>
            <w:tcW w:w="8118" w:type="dxa"/>
          </w:tcPr>
          <w:p w14:paraId="5D16E209" w14:textId="77777777" w:rsidR="00AA346F" w:rsidRDefault="00551179" w:rsidP="00257A01">
            <w:pPr>
              <w:pStyle w:val="CROMSTableParameters"/>
            </w:pPr>
            <w:r>
              <w:t xml:space="preserve">Convenience term used to identify the lead principal investigator at a site.  This term is created to differentiate the role of lead investigators at each clinical site (i.e., the Site PI) from the lead investigator of the study (i.e., the PI).  One </w:t>
            </w:r>
            <w:r w:rsidR="00B23CFA">
              <w:t>of the site PIs may also be the</w:t>
            </w:r>
            <w:r>
              <w:t xml:space="preserve"> PI</w:t>
            </w:r>
            <w:r w:rsidR="00B23CFA">
              <w:t xml:space="preserve"> </w:t>
            </w:r>
            <w:r w:rsidR="00AA346F">
              <w:t xml:space="preserve">or Study Director </w:t>
            </w:r>
            <w:r w:rsidR="00B23CFA">
              <w:t>of the study</w:t>
            </w:r>
            <w:r w:rsidR="00F848EF">
              <w:t>.</w:t>
            </w:r>
          </w:p>
        </w:tc>
      </w:tr>
      <w:tr w:rsidR="00551179" w14:paraId="15E5400B" w14:textId="77777777" w:rsidTr="000679A9">
        <w:tc>
          <w:tcPr>
            <w:tcW w:w="1584" w:type="dxa"/>
          </w:tcPr>
          <w:p w14:paraId="276E7C62" w14:textId="77777777" w:rsidR="00551179" w:rsidRDefault="00551179" w:rsidP="00257A01">
            <w:pPr>
              <w:pStyle w:val="CROMSTableParameters"/>
            </w:pPr>
            <w:r>
              <w:t>TMF</w:t>
            </w:r>
          </w:p>
        </w:tc>
        <w:tc>
          <w:tcPr>
            <w:tcW w:w="8118" w:type="dxa"/>
          </w:tcPr>
          <w:p w14:paraId="54A6966A" w14:textId="77777777" w:rsidR="00B03D22" w:rsidRDefault="00551179" w:rsidP="00E7781A">
            <w:pPr>
              <w:pStyle w:val="CROMSTableParameters"/>
            </w:pPr>
            <w:r>
              <w:t>Trial Master File</w:t>
            </w:r>
            <w:r w:rsidR="00BE0A95">
              <w:t>;</w:t>
            </w:r>
            <w:r w:rsidR="00B03D22">
              <w:t xml:space="preserve"> the file that contains all of the key documents relating to a clinical study, usually maintained by the sponsor or sponsor representative (</w:t>
            </w:r>
            <w:r w:rsidR="00FA4DE9">
              <w:t xml:space="preserve">e.g., a </w:t>
            </w:r>
            <w:r w:rsidR="00E7781A">
              <w:t>Contract Research Organization [CRO]</w:t>
            </w:r>
            <w:r w:rsidR="00B03D22">
              <w:t>)</w:t>
            </w:r>
            <w:r w:rsidR="00BE0A95">
              <w:t>.</w:t>
            </w:r>
            <w:r w:rsidR="00B03D22">
              <w:t xml:space="preserve"> This file contains </w:t>
            </w:r>
            <w:r w:rsidR="0022660F">
              <w:t>“</w:t>
            </w:r>
            <w:r w:rsidR="00B03D22">
              <w:t>Essential Documents,</w:t>
            </w:r>
            <w:r w:rsidR="0022660F">
              <w:t>”</w:t>
            </w:r>
            <w:r w:rsidR="00B03D22">
              <w:t xml:space="preserve"> defined as d</w:t>
            </w:r>
            <w:r w:rsidR="00B03D22" w:rsidRPr="00B03D22">
              <w:t>ocuments that individually and collectively permit evaluation of the conduct of a study and the quality of the data produced</w:t>
            </w:r>
            <w:r w:rsidR="00B03D22">
              <w:t>.</w:t>
            </w:r>
            <w:r w:rsidR="00E7781A">
              <w:t xml:space="preserve">  Example of some content: IRB-a</w:t>
            </w:r>
            <w:r w:rsidR="0022660F">
              <w:t>pproved protocols, consents, assents, advertisements; investigator curriculum vitae or list of qualifications; study team training log/documentation.</w:t>
            </w:r>
          </w:p>
        </w:tc>
      </w:tr>
    </w:tbl>
    <w:p w14:paraId="16D6B02E" w14:textId="77777777" w:rsidR="00AF4CC0" w:rsidRDefault="00B23CFA" w:rsidP="00AF4CC0">
      <w:pPr>
        <w:pStyle w:val="CROMSText"/>
      </w:pPr>
      <w:r w:rsidRPr="00B23CFA">
        <w:rPr>
          <w:vertAlign w:val="superscript"/>
        </w:rPr>
        <w:t>1</w:t>
      </w:r>
      <w:r>
        <w:t xml:space="preserve"> verbatim definition from </w:t>
      </w:r>
      <w:hyperlink r:id="rId23" w:anchor="A" w:history="1">
        <w:r w:rsidRPr="00B23CFA">
          <w:rPr>
            <w:rStyle w:val="Hyperlink"/>
          </w:rPr>
          <w:t>NIH Glossary of Terms</w:t>
        </w:r>
      </w:hyperlink>
    </w:p>
    <w:p w14:paraId="45318171" w14:textId="77777777" w:rsidR="002E0905" w:rsidRPr="00101A03" w:rsidRDefault="00F53922" w:rsidP="00CA5F34">
      <w:pPr>
        <w:pStyle w:val="Heading1"/>
      </w:pPr>
      <w:bookmarkStart w:id="1" w:name="_Toc375231187"/>
      <w:r w:rsidRPr="00101A03">
        <w:t>INTRODUCTION</w:t>
      </w:r>
      <w:bookmarkEnd w:id="1"/>
    </w:p>
    <w:p w14:paraId="173FB6C0" w14:textId="77777777" w:rsidR="00FC517F" w:rsidRDefault="002E0905">
      <w:pPr>
        <w:pStyle w:val="CROMSText"/>
      </w:pPr>
      <w:r>
        <w:t xml:space="preserve">Implementation and conduct of a clinical study </w:t>
      </w:r>
      <w:r w:rsidR="008F3AE0">
        <w:t>can be</w:t>
      </w:r>
      <w:r>
        <w:t xml:space="preserve"> </w:t>
      </w:r>
      <w:r w:rsidR="008F3AE0">
        <w:t xml:space="preserve">a </w:t>
      </w:r>
      <w:r>
        <w:t>comple</w:t>
      </w:r>
      <w:r w:rsidR="008F3AE0">
        <w:t>x</w:t>
      </w:r>
      <w:r>
        <w:t xml:space="preserve"> process that involves a team from various disciplines and </w:t>
      </w:r>
      <w:r w:rsidR="00F91A3E">
        <w:t>multiple</w:t>
      </w:r>
      <w:r>
        <w:t xml:space="preserve"> steps that </w:t>
      </w:r>
      <w:r w:rsidR="008F3AE0">
        <w:t>are</w:t>
      </w:r>
      <w:r>
        <w:t xml:space="preserve"> dependent on </w:t>
      </w:r>
      <w:r w:rsidR="008F3AE0">
        <w:t xml:space="preserve">one </w:t>
      </w:r>
      <w:r>
        <w:t xml:space="preserve">another. This document offers guidance </w:t>
      </w:r>
      <w:r w:rsidR="00F91A3E">
        <w:t>for</w:t>
      </w:r>
      <w:r>
        <w:t xml:space="preserve"> navigating the clinical research study start-up and </w:t>
      </w:r>
      <w:r w:rsidR="00F91A3E">
        <w:t>activation</w:t>
      </w:r>
      <w:r>
        <w:t xml:space="preserve"> process. This guide is for NIDCR Extramural clinical research </w:t>
      </w:r>
      <w:r w:rsidR="00F91A3E">
        <w:t xml:space="preserve">studies that </w:t>
      </w:r>
      <w:r>
        <w:t xml:space="preserve">are determined to </w:t>
      </w:r>
      <w:r w:rsidR="005015C5">
        <w:t xml:space="preserve">require additional oversight by the NIDCR Medical Monitor.  Studies may require additional oversight because </w:t>
      </w:r>
      <w:r w:rsidR="005015C5">
        <w:lastRenderedPageBreak/>
        <w:t>they are more than minimal risk to human subjects</w:t>
      </w:r>
      <w:r w:rsidR="00993468">
        <w:t xml:space="preserve"> </w:t>
      </w:r>
      <w:r w:rsidR="005015C5">
        <w:t xml:space="preserve">or </w:t>
      </w:r>
      <w:r w:rsidR="00752A2B">
        <w:t>have other characteristics that indicate a need for additional NIDCR oversight</w:t>
      </w:r>
      <w:r w:rsidR="004D4617">
        <w:t>, (e.g.,</w:t>
      </w:r>
      <w:r w:rsidR="002E4C25">
        <w:t xml:space="preserve"> complex study design, vulnerable population, large sample size, high NIDCR profile, multi-center, large NIDCR investment of funds</w:t>
      </w:r>
      <w:r w:rsidR="004D4617">
        <w:t>)</w:t>
      </w:r>
      <w:r w:rsidR="00752A2B">
        <w:t>.</w:t>
      </w:r>
    </w:p>
    <w:p w14:paraId="0252B068" w14:textId="77777777" w:rsidR="004B4E4B" w:rsidRDefault="007C138E">
      <w:pPr>
        <w:pStyle w:val="CROMSText"/>
      </w:pPr>
      <w:r>
        <w:t xml:space="preserve">NIDCR receives clinical research study plans within a grant proposal. Clinical Terms of Award requires the clinical research study plan to be documented in a consolidated format to include applicable elements of a clinical protocol in accordance with </w:t>
      </w:r>
      <w:r w:rsidR="00093ABE">
        <w:t xml:space="preserve">the International Conference on </w:t>
      </w:r>
      <w:proofErr w:type="spellStart"/>
      <w:r w:rsidR="00093ABE">
        <w:t>Harmonisation’s</w:t>
      </w:r>
      <w:proofErr w:type="spellEnd"/>
      <w:r w:rsidR="00093ABE">
        <w:t xml:space="preserve"> Guideline for Good Clinical Practice - </w:t>
      </w:r>
      <w:r>
        <w:t xml:space="preserve">ICH GCP E6, Section 6. NIDCR recommends the </w:t>
      </w:r>
      <w:r w:rsidR="00993468">
        <w:t xml:space="preserve">investigator use the relevant </w:t>
      </w:r>
      <w:r>
        <w:t xml:space="preserve">NIDCR protocol template to ensure all applicable elements of ICH are included in the protocol document. </w:t>
      </w:r>
    </w:p>
    <w:p w14:paraId="3946324A" w14:textId="77777777" w:rsidR="004B4E4B" w:rsidRDefault="002E0905">
      <w:pPr>
        <w:pStyle w:val="CROMSText"/>
      </w:pPr>
      <w:r>
        <w:t>The start-up and activation process begins with the development of a clinical research st</w:t>
      </w:r>
      <w:r w:rsidR="00F91A3E">
        <w:t>udy plan in the form a protocol</w:t>
      </w:r>
      <w:r>
        <w:t>.</w:t>
      </w:r>
      <w:r w:rsidR="00F91A3E">
        <w:t xml:space="preserve">  Other study documents such as consent and assent </w:t>
      </w:r>
      <w:r w:rsidR="00324E03">
        <w:t>document</w:t>
      </w:r>
      <w:r w:rsidR="00F91A3E">
        <w:t xml:space="preserve">s, data collection or case report forms, </w:t>
      </w:r>
      <w:r w:rsidR="00F65C9D">
        <w:t>M</w:t>
      </w:r>
      <w:r w:rsidR="00F91A3E">
        <w:t xml:space="preserve">anual of </w:t>
      </w:r>
      <w:r w:rsidR="00F65C9D">
        <w:t>P</w:t>
      </w:r>
      <w:r w:rsidR="00F91A3E">
        <w:t>rocedures, checklists and logs will be helpful</w:t>
      </w:r>
      <w:r w:rsidR="00993468">
        <w:t>,</w:t>
      </w:r>
      <w:r w:rsidR="00F91A3E">
        <w:t xml:space="preserve"> if not </w:t>
      </w:r>
      <w:r w:rsidR="00993468">
        <w:t xml:space="preserve">already </w:t>
      </w:r>
      <w:r w:rsidR="00F91A3E">
        <w:t>required</w:t>
      </w:r>
      <w:r w:rsidR="00993468">
        <w:t>,</w:t>
      </w:r>
      <w:r w:rsidR="00F91A3E">
        <w:t xml:space="preserve"> to implement a clinical study.</w:t>
      </w:r>
      <w:r w:rsidR="007C138E">
        <w:t xml:space="preserve"> To meet Human Subject Protections regulatory requirements and other applicable regulatory requirements, other documents including Institutional Review Board (IRB) approvals are required in accordance with ICH E6 Section 8. </w:t>
      </w:r>
      <w:r w:rsidR="008433F7">
        <w:t xml:space="preserve">In order to have standardization of procedures across the study, adequate documentation is necessary. </w:t>
      </w:r>
      <w:r>
        <w:t xml:space="preserve">This guide will identify which documents and steps need to be completed to </w:t>
      </w:r>
      <w:r w:rsidR="007C138E">
        <w:t>begin conduct of</w:t>
      </w:r>
      <w:r>
        <w:t xml:space="preserve"> clinical research in compliance with Good Clinical Practice.</w:t>
      </w:r>
    </w:p>
    <w:p w14:paraId="550416AD" w14:textId="77777777" w:rsidR="009960F8" w:rsidRDefault="00BA2600" w:rsidP="002B37C0">
      <w:pPr>
        <w:pStyle w:val="CROMSText"/>
      </w:pPr>
      <w:r>
        <w:fldChar w:fldCharType="begin"/>
      </w:r>
      <w:r w:rsidR="00DC48CE">
        <w:instrText xml:space="preserve"> REF _Ref275203564 \h </w:instrText>
      </w:r>
      <w:r>
        <w:fldChar w:fldCharType="separate"/>
      </w:r>
      <w:r w:rsidR="00791B9C" w:rsidRPr="00AF0B1E">
        <w:rPr>
          <w:rFonts w:cs="Arial"/>
        </w:rPr>
        <w:t xml:space="preserve">Figure </w:t>
      </w:r>
      <w:r w:rsidR="00791B9C">
        <w:rPr>
          <w:rFonts w:cs="Arial"/>
          <w:noProof/>
        </w:rPr>
        <w:t>1</w:t>
      </w:r>
      <w:r>
        <w:fldChar w:fldCharType="end"/>
      </w:r>
      <w:r w:rsidR="00DC48CE">
        <w:t xml:space="preserve"> </w:t>
      </w:r>
      <w:r w:rsidR="009960F8">
        <w:t xml:space="preserve">depicts </w:t>
      </w:r>
      <w:r w:rsidR="00010E77">
        <w:t xml:space="preserve">both </w:t>
      </w:r>
      <w:r w:rsidR="002B37C0">
        <w:t xml:space="preserve">a simple and </w:t>
      </w:r>
      <w:r w:rsidR="00010E77">
        <w:t xml:space="preserve">a </w:t>
      </w:r>
      <w:r w:rsidR="002B37C0">
        <w:t xml:space="preserve">more complex graphic of the </w:t>
      </w:r>
      <w:r w:rsidR="002B37C0">
        <w:rPr>
          <w:rFonts w:cs="Arial"/>
        </w:rPr>
        <w:t xml:space="preserve">components of </w:t>
      </w:r>
      <w:r w:rsidR="007B4BC5">
        <w:rPr>
          <w:rFonts w:cs="Arial"/>
        </w:rPr>
        <w:t>E</w:t>
      </w:r>
      <w:r w:rsidR="002B37C0">
        <w:rPr>
          <w:rFonts w:cs="Arial"/>
        </w:rPr>
        <w:t>xtramural c</w:t>
      </w:r>
      <w:r w:rsidR="005C6AE4">
        <w:rPr>
          <w:rFonts w:cs="Arial"/>
        </w:rPr>
        <w:t>l</w:t>
      </w:r>
      <w:r w:rsidR="002B37C0">
        <w:rPr>
          <w:rFonts w:cs="Arial"/>
        </w:rPr>
        <w:t>inical research study implementation and oversight</w:t>
      </w:r>
      <w:r w:rsidR="002B37C0">
        <w:t xml:space="preserve">, including the process for site initiation, </w:t>
      </w:r>
      <w:proofErr w:type="spellStart"/>
      <w:r w:rsidR="002B37C0">
        <w:t>CToA</w:t>
      </w:r>
      <w:proofErr w:type="spellEnd"/>
      <w:r w:rsidR="002B37C0">
        <w:t xml:space="preserve">, and site activation. </w:t>
      </w:r>
    </w:p>
    <w:p w14:paraId="18E6DADE" w14:textId="77777777" w:rsidR="002E0F5B" w:rsidRDefault="002E0F5B">
      <w:pPr>
        <w:spacing w:after="0" w:line="240" w:lineRule="auto"/>
        <w:rPr>
          <w:rFonts w:ascii="Arial" w:hAnsi="Arial"/>
        </w:rPr>
      </w:pPr>
    </w:p>
    <w:p w14:paraId="6B673F54" w14:textId="77777777" w:rsidR="002B37C0" w:rsidRDefault="002E0F5B" w:rsidP="00855259">
      <w:pPr>
        <w:pStyle w:val="Caption"/>
      </w:pPr>
      <w:r>
        <w:br w:type="page"/>
      </w:r>
      <w:bookmarkStart w:id="2" w:name="_Ref275203564"/>
      <w:r w:rsidR="003946CB" w:rsidRPr="00AF0B1E">
        <w:rPr>
          <w:rFonts w:ascii="Arial" w:hAnsi="Arial" w:cs="Arial"/>
          <w:color w:val="auto"/>
          <w:sz w:val="22"/>
          <w:szCs w:val="22"/>
        </w:rPr>
        <w:lastRenderedPageBreak/>
        <w:t xml:space="preserve">Figure </w:t>
      </w:r>
      <w:r w:rsidR="00BA2600" w:rsidRPr="00AF0B1E">
        <w:rPr>
          <w:rFonts w:ascii="Arial" w:hAnsi="Arial" w:cs="Arial"/>
          <w:color w:val="auto"/>
          <w:sz w:val="22"/>
          <w:szCs w:val="22"/>
        </w:rPr>
        <w:fldChar w:fldCharType="begin"/>
      </w:r>
      <w:r w:rsidR="003946CB" w:rsidRPr="00AF0B1E">
        <w:rPr>
          <w:rFonts w:ascii="Arial" w:hAnsi="Arial" w:cs="Arial"/>
          <w:color w:val="auto"/>
          <w:sz w:val="22"/>
          <w:szCs w:val="22"/>
        </w:rPr>
        <w:instrText xml:space="preserve"> SEQ Figure \* ARABIC </w:instrText>
      </w:r>
      <w:r w:rsidR="00BA2600" w:rsidRPr="00AF0B1E">
        <w:rPr>
          <w:rFonts w:ascii="Arial" w:hAnsi="Arial" w:cs="Arial"/>
          <w:color w:val="auto"/>
          <w:sz w:val="22"/>
          <w:szCs w:val="22"/>
        </w:rPr>
        <w:fldChar w:fldCharType="separate"/>
      </w:r>
      <w:r w:rsidR="00791B9C">
        <w:rPr>
          <w:rFonts w:ascii="Arial" w:hAnsi="Arial" w:cs="Arial"/>
          <w:noProof/>
          <w:color w:val="auto"/>
          <w:sz w:val="22"/>
          <w:szCs w:val="22"/>
        </w:rPr>
        <w:t>1</w:t>
      </w:r>
      <w:r w:rsidR="00BA2600" w:rsidRPr="00AF0B1E">
        <w:rPr>
          <w:rFonts w:ascii="Arial" w:hAnsi="Arial" w:cs="Arial"/>
          <w:color w:val="auto"/>
          <w:sz w:val="22"/>
          <w:szCs w:val="22"/>
        </w:rPr>
        <w:fldChar w:fldCharType="end"/>
      </w:r>
      <w:bookmarkEnd w:id="2"/>
      <w:r w:rsidR="003946CB" w:rsidRPr="00AF0B1E">
        <w:rPr>
          <w:rFonts w:ascii="Arial" w:hAnsi="Arial" w:cs="Arial"/>
          <w:color w:val="auto"/>
          <w:sz w:val="22"/>
          <w:szCs w:val="22"/>
        </w:rPr>
        <w:t>.  Components of Extramural Clinical Research Study Implementation and Oversight</w:t>
      </w:r>
    </w:p>
    <w:p w14:paraId="72F55AB2" w14:textId="77777777" w:rsidR="003E7A7B" w:rsidRPr="0008352D" w:rsidRDefault="003E7A7B" w:rsidP="003946CB">
      <w:pPr>
        <w:sectPr w:rsidR="003E7A7B" w:rsidRPr="0008352D" w:rsidSect="003946CB">
          <w:footerReference w:type="default" r:id="rId24"/>
          <w:footnotePr>
            <w:numStart w:val="2"/>
          </w:footnotePr>
          <w:pgSz w:w="12240" w:h="15840"/>
          <w:pgMar w:top="1680" w:right="1440" w:bottom="1440" w:left="1440" w:header="720" w:footer="720" w:gutter="0"/>
          <w:cols w:space="720"/>
          <w:docGrid w:linePitch="360"/>
        </w:sectPr>
      </w:pPr>
      <w:r>
        <w:rPr>
          <w:noProof/>
        </w:rPr>
        <w:drawing>
          <wp:inline distT="0" distB="0" distL="0" distR="0" wp14:anchorId="6DB64E1F" wp14:editId="05DFFB18">
            <wp:extent cx="5943600" cy="5756222"/>
            <wp:effectExtent l="0" t="0" r="0" b="0"/>
            <wp:docPr id="4" name="Picture 3" descr="NIDCR Components of Clinical Research Study Implementation and Oversight&#10;Protocol &amp; Related Documents and Study Administration, Regulatory Requirements, Subject Safety Oversight, Data &amp; Quality Management, Specimen Management, and Clinical Site Monitoring&#10;&#10;Part 1 - High Level Overview of Processes:&#10;&#10;1. Concept, Pre-application reviewed by NIDCR Program Officer (e.g., R34/U01)&#10;&#10;2. Protocol Development and Study Preparation&#10;(Protocol includes all required template elements. Grant or Protocol may have IRB approval before funding. Full protocol with NIDCR review. [Important: A minimum of 3 months is needed for review and harmonization across all documents and processes. Begin work on components of Clinical Trials Implementation as early in the protocol development process as possible. Allow for time to address comments. At least 3 months are needed for document review and implementation.]  May need to be resubmitted to IRB before subject enrollment.)&#10;&#10;3. Concurrent development of processes for:&#10;• Protocol-related and Study Administration Documents and Processes&#10;• Regulatory Requirements Human Subjects Protections (46 CFR Part 46: All NIH funded studies are governed by 45 CFR Part 46. If a study is under IND or IDE, additional regulations will apply [see OCTOM for guidance].) &#10;• Subject Safety Oversight&#10;• Data &amp; Quality Management&#10;• Specimen Management&#10;• Clinical Site Monitoring&#10;&#10;4. Site Initiation and Activation Process:&#10;a. IRB approval of protocol, consent/assent documents, and other applicable study materials&#10;b. Clinical Terms of Award (CToA) met by site, site funding released&#10;c. Site meets remaining activation requirements&#10;d. Site Activated&#10;e. Site Enrollment Begi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 Trials Implementation Flowchart Extramural_Alternate.jpg"/>
                    <pic:cNvPicPr/>
                  </pic:nvPicPr>
                  <pic:blipFill>
                    <a:blip r:embed="rId25">
                      <a:extLst>
                        <a:ext uri="{28A0092B-C50C-407E-A947-70E740481C1C}">
                          <a14:useLocalDpi xmlns:a14="http://schemas.microsoft.com/office/drawing/2010/main" val="0"/>
                        </a:ext>
                      </a:extLst>
                    </a:blip>
                    <a:stretch>
                      <a:fillRect/>
                    </a:stretch>
                  </pic:blipFill>
                  <pic:spPr>
                    <a:xfrm>
                      <a:off x="0" y="0"/>
                      <a:ext cx="5943600" cy="5756222"/>
                    </a:xfrm>
                    <a:prstGeom prst="rect">
                      <a:avLst/>
                    </a:prstGeom>
                  </pic:spPr>
                </pic:pic>
              </a:graphicData>
            </a:graphic>
          </wp:inline>
        </w:drawing>
      </w:r>
    </w:p>
    <w:p w14:paraId="49A54F22" w14:textId="77777777" w:rsidR="002E0F5B" w:rsidRDefault="002E0F5B">
      <w:pPr>
        <w:spacing w:after="0" w:line="240" w:lineRule="auto"/>
        <w:rPr>
          <w:rFonts w:ascii="Arial" w:hAnsi="Arial"/>
        </w:rPr>
      </w:pPr>
    </w:p>
    <w:p w14:paraId="65D9978D" w14:textId="77777777" w:rsidR="002E0F5B" w:rsidRDefault="00855259" w:rsidP="009960F8">
      <w:pPr>
        <w:pStyle w:val="CROMSText"/>
        <w:sectPr w:rsidR="002E0F5B" w:rsidSect="00A558EC">
          <w:headerReference w:type="default" r:id="rId26"/>
          <w:footnotePr>
            <w:numStart w:val="2"/>
          </w:footnotePr>
          <w:pgSz w:w="12240" w:h="15840"/>
          <w:pgMar w:top="1680" w:right="1440" w:bottom="1440" w:left="1440" w:header="720" w:footer="720" w:gutter="0"/>
          <w:cols w:space="720"/>
          <w:docGrid w:linePitch="360"/>
        </w:sectPr>
      </w:pPr>
      <w:r>
        <w:rPr>
          <w:noProof/>
        </w:rPr>
        <w:drawing>
          <wp:inline distT="0" distB="0" distL="0" distR="0" wp14:anchorId="7CB076B2" wp14:editId="18C68699">
            <wp:extent cx="5597068" cy="6867525"/>
            <wp:effectExtent l="0" t="0" r="0" b="0"/>
            <wp:docPr id="5" name="Picture 4" descr="Part 2 - Detail of Processes:&#10;&#10;1. Concept, Pre-application reviewed by NIDCR Program Officer (e.g., R34/U01)&#10;&#10;2. Protocol Development and Study Preparation&#10;(Protocol includes all required template elements. Grant or Protocol may have IRB approval before funding. Full protocol with NIDCR review [Important: A minimum of 3 months is needed for review and harmonization across all documents and processes. Begin work on components of Clinical Trials Implementation as early in the protocol development process as possible. Allow for time to address comments. At least 3 months are needed for document review and implementation.]  May need to be resubmitted to IRB before subject enrollment.)&#10;&#10;3. Concurrent development of processes for:&#10;• Protocol-related and Study Administration Documents and Processes&#10;- Documents: Protocol and consent document (other materials-e.g., advertisements) Guided by HS &amp; GCP [PI and staff, Data Coordinating Center (DCC), Program Officer (PO),OCTOM, Medical Monitor (MM)]&#10;- Documents: Study plan, timeline, communication plan, and documentation of meeting agendas/minutes [PI and staff, DCC]&#10;- Process: Study planning meetings and other administrative activities [PIs and staff, DCC, PO]&#10;- Document: Manual of Procedures [PI and staff, DCC, PO, OCTOM]&#10;• Regulatory Requirements Human Subjects Protections (45 CFR Part 46: All NIH funded studies are governed by 45 CFR Part 46. If a study is under IND or IDE, additional regulations will apply [see OCTOM for guidance].) &#10;- Process: IRB Review, Feedback, Material Update, and IRB Approval of protocol, consent document, and other materials&#10;- Process: Only if applicable: Certificate of Confidentiality, IND/IDE, Registry in Clinicaltrials.gov [PI and staff]&#10;- Process: Essential Regulatory Document Collection [PI and staff, DCC]&#10;• Subject Safety Oversight&#10;- Document: Safety Monitoring Plan (Prepared by PI or CROMS and reviewed by Safety Oversight Committee [CSOC, DSMB, ISM] as indicated.)&#10;- Process: Scheduling and Facilitating Safety Oversight Meetings [CROMS, OCTOM]&#10;- Process: Serious Adverse Event and Unanticipated Problem Reporting [CROMS &amp; OCTOM]&#10;• Data &amp; Quality Management&#10;- Process: Data Collection Tools, Case Report Form (Data Collection Form) Development [DCC, PI, Statistician]&#10;- Documents: Data Management Plan, Case Report Forms, CRF Completion Guidelines [PI and Staff, DCC]&#10;- Document: Quality Management Plan [PI and staff, DCC]&#10;• Specimen Management&#10;- Document: Specimen Handling Plan (may be part of MOP) [PI and staff, DCC]&#10;- Process: Preparation of specimen materials: tubes, labels, barcoding [PI and staff, DCC]&#10;- Process: Tracking system: Shipping, handling, disposition logs &amp; Training on Specimen Handling [PI and staff, DCC]&#10;- Process: Preparation of other study materials (e.g., brochures)&#10;• Clinical Site Monitoring [CROMS monitors consent eligibility, AEs, data collection as directed]&#10;- Document: Site Assessment Questionnaire [CROMS and Clinical Sites]&#10;- Document: Clinical Monitoring Plan [CROMS]&#10;- Process: Site Initiation Visit [PIs and staff, PO, DCC, CROMS, OCTOM] (preferably scheduled to occur after IRB approvals received – item 4a below)&#10;&#10;4. Site Initiation and Activation Process:&#10;a. IRB approval of protocol, consent/assent documents, and other applicable study materials (SIV preferably scheduled to occur after these approvals received)&#10;b. Clinical Terms of Award (CToA) met by site, site funding released&#10;c. Site meets remaining activation requirements&#10;d. Site Activated&#10;e. Site Enrollment Begins&#10;&#10;5. Reports generated:&#10;• Accrual Reports [DCC]&#10;• Protocol Deviation Reports&#10;• Clinical Site Monitoring Visit Reports [CROMS]&#10;• Safety Data Reports: SAE Reporting, Safety Updates [CROMS or other 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ed view.jpg"/>
                    <pic:cNvPicPr/>
                  </pic:nvPicPr>
                  <pic:blipFill>
                    <a:blip r:embed="rId27">
                      <a:extLst>
                        <a:ext uri="{28A0092B-C50C-407E-A947-70E740481C1C}">
                          <a14:useLocalDpi xmlns:a14="http://schemas.microsoft.com/office/drawing/2010/main" val="0"/>
                        </a:ext>
                      </a:extLst>
                    </a:blip>
                    <a:stretch>
                      <a:fillRect/>
                    </a:stretch>
                  </pic:blipFill>
                  <pic:spPr>
                    <a:xfrm>
                      <a:off x="0" y="0"/>
                      <a:ext cx="5597068" cy="6867525"/>
                    </a:xfrm>
                    <a:prstGeom prst="rect">
                      <a:avLst/>
                    </a:prstGeom>
                  </pic:spPr>
                </pic:pic>
              </a:graphicData>
            </a:graphic>
          </wp:inline>
        </w:drawing>
      </w:r>
    </w:p>
    <w:p w14:paraId="6797F202" w14:textId="77777777" w:rsidR="0041531A" w:rsidRDefault="00F53922" w:rsidP="00CA5F34">
      <w:pPr>
        <w:pStyle w:val="Heading1"/>
      </w:pPr>
      <w:bookmarkStart w:id="3" w:name="_Toc375231188"/>
      <w:bookmarkStart w:id="4" w:name="_Toc275225425"/>
      <w:r>
        <w:lastRenderedPageBreak/>
        <w:t>PROTOCOL-RELATED AND STUDY ADMINISTRATION DOCUMENTS AND PROCESSES</w:t>
      </w:r>
      <w:bookmarkEnd w:id="3"/>
    </w:p>
    <w:p w14:paraId="4B2C253F" w14:textId="77777777" w:rsidR="004B4E4B" w:rsidRDefault="00F53922" w:rsidP="00CA5F34">
      <w:pPr>
        <w:pStyle w:val="Heading2"/>
      </w:pPr>
      <w:bookmarkStart w:id="5" w:name="_Toc375231189"/>
      <w:r>
        <w:t xml:space="preserve">Protocol and Consent/Assent </w:t>
      </w:r>
      <w:r w:rsidR="002D3992">
        <w:t xml:space="preserve">Document </w:t>
      </w:r>
      <w:r>
        <w:t xml:space="preserve">Development, Review, and </w:t>
      </w:r>
      <w:r w:rsidR="005E0716">
        <w:t xml:space="preserve">Internal Team Review and </w:t>
      </w:r>
      <w:r>
        <w:t>Approval</w:t>
      </w:r>
      <w:bookmarkEnd w:id="5"/>
      <w:r w:rsidR="00AF3BF2">
        <w:t xml:space="preserve"> </w:t>
      </w:r>
      <w:bookmarkEnd w:id="4"/>
    </w:p>
    <w:p w14:paraId="779DB8A7" w14:textId="77777777" w:rsidR="004B4E4B" w:rsidRDefault="00B00A59" w:rsidP="00CA5F34">
      <w:pPr>
        <w:pStyle w:val="Heading3"/>
      </w:pPr>
      <w:bookmarkStart w:id="6" w:name="_Ref315960789"/>
      <w:bookmarkStart w:id="7" w:name="_Toc375231190"/>
      <w:r>
        <w:t>Protocol</w:t>
      </w:r>
      <w:bookmarkEnd w:id="6"/>
      <w:bookmarkEnd w:id="7"/>
    </w:p>
    <w:p w14:paraId="78C1C58B" w14:textId="77777777" w:rsidR="001521EB" w:rsidRDefault="003127A0" w:rsidP="001521EB">
      <w:pPr>
        <w:pStyle w:val="CROMSText"/>
      </w:pPr>
      <w:r>
        <w:t xml:space="preserve">For </w:t>
      </w:r>
      <w:r w:rsidR="00602317">
        <w:t>studies that include an intervention</w:t>
      </w:r>
      <w:r w:rsidR="00940A9E" w:rsidRPr="006E5D5E">
        <w:rPr>
          <w:rFonts w:cs="Arial"/>
        </w:rPr>
        <w:t>,</w:t>
      </w:r>
      <w:r w:rsidR="00940A9E">
        <w:t xml:space="preserve"> </w:t>
      </w:r>
      <w:r w:rsidR="00DC48CE">
        <w:t xml:space="preserve">prepare the protocol using the </w:t>
      </w:r>
      <w:r w:rsidRPr="00602317">
        <w:t>NIDCR</w:t>
      </w:r>
      <w:r w:rsidRPr="00A26B89">
        <w:t xml:space="preserve"> </w:t>
      </w:r>
      <w:r w:rsidR="00602317" w:rsidRPr="00602317">
        <w:t>Extramural</w:t>
      </w:r>
      <w:r w:rsidR="00602317">
        <w:rPr>
          <w:b/>
        </w:rPr>
        <w:t xml:space="preserve"> Clinical Trial (Interventional) Protocol Template.  </w:t>
      </w:r>
      <w:r w:rsidR="00602317">
        <w:t>For studies without an intervention, prepare the protocol using the NI</w:t>
      </w:r>
      <w:r w:rsidR="00716A06">
        <w:t>D</w:t>
      </w:r>
      <w:r w:rsidR="00602317">
        <w:t xml:space="preserve">CR Extramural </w:t>
      </w:r>
      <w:r w:rsidR="00602317" w:rsidRPr="00602317">
        <w:rPr>
          <w:b/>
        </w:rPr>
        <w:t>Clinical Study (Observational) Protocol Template</w:t>
      </w:r>
      <w:r w:rsidR="00602317">
        <w:t xml:space="preserve">. These templates provide thorough guidance on the required content.  </w:t>
      </w:r>
    </w:p>
    <w:p w14:paraId="3CC44E79" w14:textId="77777777" w:rsidR="00881AB7" w:rsidRDefault="00881AB7" w:rsidP="001521EB">
      <w:pPr>
        <w:pStyle w:val="CROMSText"/>
      </w:pPr>
      <w:r>
        <w:t xml:space="preserve">Once the </w:t>
      </w:r>
      <w:r w:rsidR="007A1F6A">
        <w:t xml:space="preserve">draft </w:t>
      </w:r>
      <w:r>
        <w:t xml:space="preserve">protocol has been </w:t>
      </w:r>
      <w:r w:rsidR="004369E3">
        <w:t xml:space="preserve">written, it should be distributed to the study team for review and comment.  The </w:t>
      </w:r>
      <w:r w:rsidR="007A1F6A">
        <w:t xml:space="preserve">draft protocol </w:t>
      </w:r>
      <w:r w:rsidR="004369E3">
        <w:t xml:space="preserve">review team should include one or more individuals in each of the following categories:  </w:t>
      </w:r>
      <w:r w:rsidR="001936DC">
        <w:t xml:space="preserve">NIDCR </w:t>
      </w:r>
      <w:r w:rsidR="004669AC">
        <w:t>P</w:t>
      </w:r>
      <w:r w:rsidR="001936DC">
        <w:t xml:space="preserve">rogram </w:t>
      </w:r>
      <w:r w:rsidR="004669AC">
        <w:t>O</w:t>
      </w:r>
      <w:r w:rsidR="001936DC">
        <w:t>fficial</w:t>
      </w:r>
      <w:r w:rsidR="00B7295B">
        <w:t>;</w:t>
      </w:r>
      <w:r w:rsidR="001936DC">
        <w:t xml:space="preserve"> </w:t>
      </w:r>
      <w:r w:rsidR="00D10F05">
        <w:t>Principal Investigator (</w:t>
      </w:r>
      <w:r w:rsidR="00C80DBE">
        <w:t>PI</w:t>
      </w:r>
      <w:r w:rsidR="00D10F05">
        <w:t>)</w:t>
      </w:r>
      <w:r w:rsidR="00477CEF">
        <w:t>;</w:t>
      </w:r>
      <w:r w:rsidR="004369E3">
        <w:t xml:space="preserve"> site study coordinator with logistical</w:t>
      </w:r>
      <w:r w:rsidR="00477CEF">
        <w:t xml:space="preserve"> expertise;</w:t>
      </w:r>
      <w:r w:rsidR="004369E3">
        <w:t xml:space="preserve"> </w:t>
      </w:r>
      <w:r w:rsidR="00D03DC2">
        <w:t xml:space="preserve">NIDCR </w:t>
      </w:r>
      <w:r w:rsidR="007B4BC5">
        <w:t>M</w:t>
      </w:r>
      <w:r w:rsidR="00D03DC2">
        <w:t xml:space="preserve">edical </w:t>
      </w:r>
      <w:r w:rsidR="007B4BC5">
        <w:t>M</w:t>
      </w:r>
      <w:r w:rsidR="00D03DC2">
        <w:t xml:space="preserve">onitor; </w:t>
      </w:r>
      <w:r w:rsidR="00E77534">
        <w:t xml:space="preserve">Data </w:t>
      </w:r>
      <w:r w:rsidR="00C726D6">
        <w:t xml:space="preserve">Coordinating </w:t>
      </w:r>
      <w:r w:rsidR="00E77534">
        <w:t>Center (</w:t>
      </w:r>
      <w:r w:rsidR="00C80DBE">
        <w:t>D</w:t>
      </w:r>
      <w:r w:rsidR="00C726D6">
        <w:t>C</w:t>
      </w:r>
      <w:r w:rsidR="00C80DBE">
        <w:t>C</w:t>
      </w:r>
      <w:r w:rsidR="00E77534">
        <w:t>)</w:t>
      </w:r>
      <w:r w:rsidR="004369E3">
        <w:t xml:space="preserve"> </w:t>
      </w:r>
      <w:r w:rsidR="00477CEF">
        <w:t xml:space="preserve">study coordinator; statistician; </w:t>
      </w:r>
      <w:r w:rsidR="004369E3">
        <w:t>data manage</w:t>
      </w:r>
      <w:r w:rsidR="001936DC">
        <w:t>r</w:t>
      </w:r>
      <w:r w:rsidR="00477CEF">
        <w:t>;</w:t>
      </w:r>
      <w:r w:rsidR="004369E3">
        <w:t xml:space="preserve"> </w:t>
      </w:r>
      <w:r w:rsidR="005A3E0F">
        <w:t xml:space="preserve">and </w:t>
      </w:r>
      <w:r w:rsidR="004369E3">
        <w:t>a representative from the Office of Clinical Trials Op</w:t>
      </w:r>
      <w:r w:rsidR="00477CEF">
        <w:t>erations and Management (OCTOM</w:t>
      </w:r>
      <w:r w:rsidR="00735A63">
        <w:t>)</w:t>
      </w:r>
      <w:r w:rsidR="004369E3">
        <w:t>.</w:t>
      </w:r>
    </w:p>
    <w:p w14:paraId="52033DDD" w14:textId="77777777" w:rsidR="00477CEF" w:rsidRDefault="00477CEF" w:rsidP="001521EB">
      <w:pPr>
        <w:pStyle w:val="CROMSText"/>
      </w:pPr>
      <w:r>
        <w:t xml:space="preserve">The </w:t>
      </w:r>
      <w:r w:rsidR="000E38B4">
        <w:t xml:space="preserve">process for </w:t>
      </w:r>
      <w:r>
        <w:t xml:space="preserve">review and update </w:t>
      </w:r>
      <w:r w:rsidR="005A3E0F">
        <w:t xml:space="preserve">of the protocol during this development stage </w:t>
      </w:r>
      <w:r>
        <w:t xml:space="preserve">should be </w:t>
      </w:r>
      <w:r w:rsidR="000E38B4">
        <w:t>specified</w:t>
      </w:r>
      <w:r>
        <w:t xml:space="preserve"> early on.  </w:t>
      </w:r>
      <w:r w:rsidR="001936DC">
        <w:t>Identify the person(s)</w:t>
      </w:r>
      <w:r>
        <w:t xml:space="preserve"> responsible for delivery of </w:t>
      </w:r>
      <w:r w:rsidR="000E38B4">
        <w:t>protocol drafts, for</w:t>
      </w:r>
      <w:r>
        <w:t xml:space="preserve"> integration of comments from multiple sources into one version</w:t>
      </w:r>
      <w:r w:rsidR="000E38B4">
        <w:t>, and for version control</w:t>
      </w:r>
      <w:r w:rsidR="001936DC">
        <w:t>;</w:t>
      </w:r>
      <w:r>
        <w:t xml:space="preserve"> </w:t>
      </w:r>
      <w:r w:rsidR="001936DC">
        <w:t xml:space="preserve">identify the process for distributing </w:t>
      </w:r>
      <w:r w:rsidR="000E38B4">
        <w:t>documents and reviewer comments</w:t>
      </w:r>
      <w:r w:rsidR="001936DC">
        <w:t>; identify who and h</w:t>
      </w:r>
      <w:r>
        <w:t xml:space="preserve">ow decisions about protocol changes </w:t>
      </w:r>
      <w:r w:rsidR="001936DC">
        <w:t xml:space="preserve">will </w:t>
      </w:r>
      <w:r>
        <w:t>be made</w:t>
      </w:r>
      <w:r w:rsidR="001936DC">
        <w:t xml:space="preserve">; develop a communication plan that may include convening regularly scheduled </w:t>
      </w:r>
      <w:r>
        <w:t xml:space="preserve">meetings </w:t>
      </w:r>
      <w:r w:rsidR="000E38B4">
        <w:t xml:space="preserve">(e.g., teleconferences) </w:t>
      </w:r>
      <w:r>
        <w:t xml:space="preserve">with protocol reviewers to discuss proposed changes prior to implementation.  </w:t>
      </w:r>
      <w:r w:rsidR="000E38B4">
        <w:t>Minutes from such meetings are critical to the update process.</w:t>
      </w:r>
    </w:p>
    <w:p w14:paraId="6169332E" w14:textId="77777777" w:rsidR="000E38B4" w:rsidRDefault="000E38B4" w:rsidP="001521EB">
      <w:pPr>
        <w:pStyle w:val="CROMSText"/>
      </w:pPr>
      <w:r>
        <w:t xml:space="preserve">Please refer to </w:t>
      </w:r>
      <w:r w:rsidR="008C416B">
        <w:t xml:space="preserve">the </w:t>
      </w:r>
      <w:r w:rsidR="00DD108B" w:rsidRPr="00414976">
        <w:rPr>
          <w:b/>
        </w:rPr>
        <w:t>Version Control Guidelines</w:t>
      </w:r>
      <w:r w:rsidR="008C416B">
        <w:t xml:space="preserve"> </w:t>
      </w:r>
      <w:r>
        <w:t xml:space="preserve">for </w:t>
      </w:r>
      <w:r w:rsidR="00C94055">
        <w:t>the NIDCR prescribed</w:t>
      </w:r>
      <w:r>
        <w:t xml:space="preserve"> version control process.  In brief, draft documents should include both a version date and a version number.  Versions prior to approval will begin with 0.1 and the number will be incremented with each new </w:t>
      </w:r>
      <w:r w:rsidR="00FA41EC">
        <w:lastRenderedPageBreak/>
        <w:t>draft</w:t>
      </w:r>
      <w:r w:rsidR="002E61B0">
        <w:t>; dates will be updated with the new issuance date.  Please ensure that all document headers and footers are updated for each new draft.</w:t>
      </w:r>
    </w:p>
    <w:p w14:paraId="1BDD5B22" w14:textId="77777777" w:rsidR="00735A63" w:rsidRDefault="00735A63" w:rsidP="001521EB">
      <w:pPr>
        <w:pStyle w:val="CROMSText"/>
      </w:pPr>
      <w:r>
        <w:t xml:space="preserve">To document the approval of </w:t>
      </w:r>
      <w:r w:rsidR="00682491">
        <w:t xml:space="preserve">all required reviewers for </w:t>
      </w:r>
      <w:r>
        <w:t>a protocol draft version to become final and ready for IRB submission, the study PI</w:t>
      </w:r>
      <w:r w:rsidR="00F61B6F">
        <w:t xml:space="preserve"> or team leader</w:t>
      </w:r>
      <w:r>
        <w:t xml:space="preserve"> </w:t>
      </w:r>
      <w:r w:rsidR="00EC7678">
        <w:t xml:space="preserve">may </w:t>
      </w:r>
      <w:r>
        <w:t xml:space="preserve">initiate use of the </w:t>
      </w:r>
      <w:r w:rsidRPr="003C46DB">
        <w:rPr>
          <w:b/>
        </w:rPr>
        <w:t xml:space="preserve">Extramural </w:t>
      </w:r>
      <w:r w:rsidR="00541DF7">
        <w:rPr>
          <w:b/>
        </w:rPr>
        <w:t xml:space="preserve">Clinical </w:t>
      </w:r>
      <w:r w:rsidRPr="003C46DB">
        <w:rPr>
          <w:b/>
        </w:rPr>
        <w:t>Protocol Approval</w:t>
      </w:r>
      <w:r w:rsidR="00F452D1">
        <w:rPr>
          <w:b/>
        </w:rPr>
        <w:t xml:space="preserve"> Form</w:t>
      </w:r>
      <w:r>
        <w:t>.</w:t>
      </w:r>
    </w:p>
    <w:p w14:paraId="15FDDEA7" w14:textId="77777777" w:rsidR="00C72DA2" w:rsidRDefault="00C72DA2" w:rsidP="001521EB">
      <w:pPr>
        <w:pStyle w:val="CROMSText"/>
      </w:pPr>
      <w:r>
        <w:t>A separate process for authoring, tracking, and approving protocol amendments should also be established during study start</w:t>
      </w:r>
      <w:r w:rsidR="002D3992">
        <w:t>-</w:t>
      </w:r>
      <w:r>
        <w:t>up.</w:t>
      </w:r>
      <w:r w:rsidR="00A70FD6">
        <w:t xml:space="preserve">  The Extramural </w:t>
      </w:r>
      <w:r w:rsidR="00A25FD9">
        <w:t xml:space="preserve">Clinical </w:t>
      </w:r>
      <w:r w:rsidR="00A70FD6">
        <w:t xml:space="preserve">Protocol Approval </w:t>
      </w:r>
      <w:r w:rsidR="00F452D1">
        <w:t xml:space="preserve">Form </w:t>
      </w:r>
      <w:r w:rsidR="00A70FD6">
        <w:t>may also be used to approve amended protocols prior to IRB submission.</w:t>
      </w:r>
    </w:p>
    <w:p w14:paraId="47536217" w14:textId="77777777" w:rsidR="00414976" w:rsidRDefault="00AA235F" w:rsidP="001521EB">
      <w:pPr>
        <w:pStyle w:val="CROMSText"/>
      </w:pPr>
      <w:r>
        <w:t>All tools referenced in</w:t>
      </w:r>
      <w:r w:rsidR="00414976">
        <w:t xml:space="preserve"> </w:t>
      </w:r>
      <w:r>
        <w:t xml:space="preserve">this </w:t>
      </w:r>
      <w:r w:rsidR="00414976">
        <w:t>section</w:t>
      </w:r>
      <w:r>
        <w:t xml:space="preserve"> (</w:t>
      </w:r>
      <w:r w:rsidR="00BA2600">
        <w:fldChar w:fldCharType="begin"/>
      </w:r>
      <w:r>
        <w:instrText xml:space="preserve"> REF _Ref315960789 \r \h </w:instrText>
      </w:r>
      <w:r w:rsidR="00BA2600">
        <w:fldChar w:fldCharType="separate"/>
      </w:r>
      <w:r w:rsidR="00791B9C">
        <w:t>3.1.1</w:t>
      </w:r>
      <w:r w:rsidR="00BA2600">
        <w:fldChar w:fldCharType="end"/>
      </w:r>
      <w:r>
        <w:t>)</w:t>
      </w:r>
      <w:r w:rsidR="00414976">
        <w:t xml:space="preserve"> </w:t>
      </w:r>
      <w:r>
        <w:t>can</w:t>
      </w:r>
      <w:r w:rsidR="00414976">
        <w:t xml:space="preserve"> be found in the Protocol </w:t>
      </w:r>
      <w:r w:rsidR="00E75CFD">
        <w:t>section</w:t>
      </w:r>
      <w:r w:rsidR="00414976">
        <w:t xml:space="preserve"> of</w:t>
      </w:r>
      <w:r w:rsidR="00E75CFD">
        <w:t xml:space="preserve"> the</w:t>
      </w:r>
      <w:r w:rsidR="00414976">
        <w:t xml:space="preserve"> Clinical </w:t>
      </w:r>
      <w:proofErr w:type="gramStart"/>
      <w:r w:rsidR="00414976">
        <w:t>Tool Box</w:t>
      </w:r>
      <w:proofErr w:type="gramEnd"/>
      <w:r w:rsidR="00414976">
        <w:t>.</w:t>
      </w:r>
    </w:p>
    <w:p w14:paraId="64E6F9C0" w14:textId="77777777" w:rsidR="004B4E4B" w:rsidRDefault="008077D4" w:rsidP="00CA5F34">
      <w:pPr>
        <w:pStyle w:val="Heading3"/>
      </w:pPr>
      <w:bookmarkStart w:id="8" w:name="_Toc275225428"/>
      <w:bookmarkStart w:id="9" w:name="_Toc375231191"/>
      <w:r w:rsidRPr="008077D4">
        <w:t>Consent Document</w:t>
      </w:r>
      <w:r w:rsidR="00B00A59">
        <w:t>s</w:t>
      </w:r>
      <w:r w:rsidRPr="008077D4">
        <w:t xml:space="preserve"> (CD)</w:t>
      </w:r>
      <w:bookmarkEnd w:id="8"/>
      <w:r w:rsidR="00B00A59">
        <w:t xml:space="preserve"> and Assent Documents</w:t>
      </w:r>
      <w:bookmarkEnd w:id="9"/>
    </w:p>
    <w:p w14:paraId="0C081C16" w14:textId="77777777" w:rsidR="00AF4CC0" w:rsidRDefault="001220B0" w:rsidP="001220B0">
      <w:pPr>
        <w:pStyle w:val="CROMSText"/>
      </w:pPr>
      <w:r>
        <w:t xml:space="preserve">Because the consent </w:t>
      </w:r>
      <w:r w:rsidR="00B00A59">
        <w:t xml:space="preserve">and assent </w:t>
      </w:r>
      <w:r w:rsidR="00546772">
        <w:t>document</w:t>
      </w:r>
      <w:r w:rsidR="00B00A59">
        <w:t>s</w:t>
      </w:r>
      <w:r w:rsidR="00546772">
        <w:t xml:space="preserve"> </w:t>
      </w:r>
      <w:r w:rsidR="00B00A59">
        <w:t>are</w:t>
      </w:r>
      <w:r>
        <w:t xml:space="preserve"> highly dependent on the content of the protocol, </w:t>
      </w:r>
      <w:r w:rsidR="00622D8F">
        <w:t xml:space="preserve">their </w:t>
      </w:r>
      <w:r>
        <w:t xml:space="preserve">development will begin in earnest </w:t>
      </w:r>
      <w:r w:rsidR="00C72DA2">
        <w:t xml:space="preserve">as soon as </w:t>
      </w:r>
      <w:r>
        <w:t xml:space="preserve">the protocol </w:t>
      </w:r>
      <w:r w:rsidR="001936DC">
        <w:t xml:space="preserve">procedures and </w:t>
      </w:r>
      <w:r w:rsidR="007A1F6A">
        <w:t xml:space="preserve">study-associated </w:t>
      </w:r>
      <w:r w:rsidR="001936DC">
        <w:t>risks are well described</w:t>
      </w:r>
      <w:r>
        <w:t xml:space="preserve">.  The </w:t>
      </w:r>
      <w:r w:rsidR="00B00A59">
        <w:t>consent document (</w:t>
      </w:r>
      <w:r w:rsidR="00546772">
        <w:t>CD</w:t>
      </w:r>
      <w:r w:rsidR="00B00A59">
        <w:t>)</w:t>
      </w:r>
      <w:r w:rsidR="00546772">
        <w:t xml:space="preserve"> </w:t>
      </w:r>
      <w:r>
        <w:t xml:space="preserve">should be prepared using both </w:t>
      </w:r>
      <w:r w:rsidR="00FA41EC">
        <w:t xml:space="preserve">the </w:t>
      </w:r>
      <w:hyperlink r:id="rId28" w:anchor="informed" w:history="1">
        <w:r w:rsidR="00FA41EC" w:rsidRPr="008B2253">
          <w:rPr>
            <w:rStyle w:val="Hyperlink"/>
          </w:rPr>
          <w:t>Office of Human Research Protections (</w:t>
        </w:r>
        <w:r w:rsidRPr="00F935C3">
          <w:rPr>
            <w:rStyle w:val="Hyperlink"/>
          </w:rPr>
          <w:t>OHRP</w:t>
        </w:r>
        <w:r w:rsidR="005C49F2" w:rsidRPr="00F935C3">
          <w:rPr>
            <w:rStyle w:val="Hyperlink"/>
          </w:rPr>
          <w:t>) guidance</w:t>
        </w:r>
      </w:hyperlink>
      <w:r w:rsidR="005C49F2">
        <w:t xml:space="preserve"> and local </w:t>
      </w:r>
      <w:r>
        <w:t xml:space="preserve">IRB </w:t>
      </w:r>
      <w:r w:rsidR="005C49F2">
        <w:t>requirements</w:t>
      </w:r>
      <w:r>
        <w:t>.</w:t>
      </w:r>
    </w:p>
    <w:p w14:paraId="2E2A2999" w14:textId="77777777" w:rsidR="00C80DBE" w:rsidRDefault="00C80DBE" w:rsidP="001220B0">
      <w:pPr>
        <w:pStyle w:val="CROMSText"/>
      </w:pPr>
      <w:r>
        <w:t xml:space="preserve">The </w:t>
      </w:r>
      <w:r w:rsidR="00546772">
        <w:t xml:space="preserve">CD </w:t>
      </w:r>
      <w:r>
        <w:t xml:space="preserve">review team is likely to be a subset of the protocol review team.  At a minimum, the </w:t>
      </w:r>
      <w:r w:rsidR="00C719F8">
        <w:t>PI</w:t>
      </w:r>
      <w:r>
        <w:t xml:space="preserve">, site study coordinator, </w:t>
      </w:r>
      <w:r w:rsidR="00E14FE3">
        <w:t xml:space="preserve">and </w:t>
      </w:r>
      <w:r w:rsidR="00040F16">
        <w:t xml:space="preserve">DCC </w:t>
      </w:r>
      <w:r>
        <w:t>study coordinator</w:t>
      </w:r>
      <w:r w:rsidR="00F14C0F">
        <w:t xml:space="preserve"> or lead-</w:t>
      </w:r>
      <w:r>
        <w:t>site study coordinator</w:t>
      </w:r>
      <w:r w:rsidR="00E14FE3">
        <w:t xml:space="preserve"> should review the </w:t>
      </w:r>
      <w:r w:rsidR="00546772">
        <w:t>CD</w:t>
      </w:r>
      <w:r w:rsidR="00E14FE3">
        <w:t>.  Additionally, NIDCR staff will review the document</w:t>
      </w:r>
      <w:r w:rsidR="00A458E9">
        <w:t xml:space="preserve"> and</w:t>
      </w:r>
      <w:r w:rsidR="00E14FE3">
        <w:t xml:space="preserve"> will communicate comments from NIDCR to the PI.  </w:t>
      </w:r>
    </w:p>
    <w:p w14:paraId="228A8F80" w14:textId="77777777" w:rsidR="001220B0" w:rsidRDefault="00AF4CC0" w:rsidP="001220B0">
      <w:pPr>
        <w:pStyle w:val="CROMSText"/>
      </w:pPr>
      <w:r>
        <w:t xml:space="preserve">For multi-center studies, the </w:t>
      </w:r>
      <w:r w:rsidR="009326E2">
        <w:t>PI</w:t>
      </w:r>
      <w:r w:rsidR="001220B0">
        <w:t xml:space="preserve"> </w:t>
      </w:r>
      <w:r w:rsidR="009326E2">
        <w:t xml:space="preserve">may choose to distribute his/her </w:t>
      </w:r>
      <w:r w:rsidR="00546772">
        <w:t xml:space="preserve">CD </w:t>
      </w:r>
      <w:r w:rsidR="009326E2">
        <w:t xml:space="preserve">to be used as a </w:t>
      </w:r>
      <w:r w:rsidR="00D6497E">
        <w:t>sample/</w:t>
      </w:r>
      <w:r w:rsidR="009326E2">
        <w:t>starting point for other participating sites</w:t>
      </w:r>
      <w:r w:rsidR="00881AB7">
        <w:t xml:space="preserve">.  Often individual IRBs have unique requirements for </w:t>
      </w:r>
      <w:r w:rsidR="00546772">
        <w:t>CDs</w:t>
      </w:r>
      <w:r w:rsidR="00881AB7">
        <w:t xml:space="preserve">, and it is likely that significant modifications of the initial </w:t>
      </w:r>
      <w:r w:rsidR="00546772">
        <w:t xml:space="preserve">CD </w:t>
      </w:r>
      <w:r w:rsidR="00881AB7">
        <w:t xml:space="preserve">template may be required.  If there is any </w:t>
      </w:r>
      <w:r w:rsidR="00546772">
        <w:t xml:space="preserve">CD </w:t>
      </w:r>
      <w:r w:rsidR="00881AB7">
        <w:t xml:space="preserve">language that may not be modified, that language should be designated as such in the </w:t>
      </w:r>
      <w:r w:rsidR="009326E2">
        <w:t xml:space="preserve">sample </w:t>
      </w:r>
      <w:r w:rsidR="00546772">
        <w:t>CD</w:t>
      </w:r>
      <w:r w:rsidR="009326E2">
        <w:t>.</w:t>
      </w:r>
      <w:r w:rsidR="009E2F63">
        <w:t xml:space="preserve">  In addition to the site review team, the </w:t>
      </w:r>
      <w:r w:rsidR="00546772">
        <w:t xml:space="preserve">CD </w:t>
      </w:r>
      <w:r w:rsidR="009E2F63">
        <w:t>should be re</w:t>
      </w:r>
      <w:r w:rsidR="00F14C0F">
        <w:t xml:space="preserve">viewed by the </w:t>
      </w:r>
      <w:r w:rsidR="004669AC">
        <w:t>P</w:t>
      </w:r>
      <w:r w:rsidR="00512753">
        <w:t xml:space="preserve">rogram </w:t>
      </w:r>
      <w:r w:rsidR="004669AC">
        <w:t>O</w:t>
      </w:r>
      <w:r w:rsidR="00512753">
        <w:t xml:space="preserve">fficial and by the </w:t>
      </w:r>
      <w:r w:rsidR="00040F16">
        <w:t xml:space="preserve">DCC </w:t>
      </w:r>
      <w:r w:rsidR="00F14C0F">
        <w:t>or lead-</w:t>
      </w:r>
      <w:r w:rsidR="009E2F63">
        <w:t xml:space="preserve">site study coordinator </w:t>
      </w:r>
      <w:r w:rsidR="00512753">
        <w:t xml:space="preserve">who will ensure, </w:t>
      </w:r>
      <w:r w:rsidR="00F05725">
        <w:t>among other things</w:t>
      </w:r>
      <w:r w:rsidR="00C97E75">
        <w:t>,</w:t>
      </w:r>
      <w:r w:rsidR="00541DF7">
        <w:t xml:space="preserve"> </w:t>
      </w:r>
      <w:r w:rsidR="00512753">
        <w:t>that any required language has not been modified.</w:t>
      </w:r>
    </w:p>
    <w:p w14:paraId="38AFEED4" w14:textId="77777777" w:rsidR="001220B0" w:rsidRDefault="00C94055" w:rsidP="001521EB">
      <w:pPr>
        <w:pStyle w:val="CROMSText"/>
      </w:pPr>
      <w:r>
        <w:lastRenderedPageBreak/>
        <w:t>The</w:t>
      </w:r>
      <w:r w:rsidR="00DC48CE">
        <w:t xml:space="preserve"> </w:t>
      </w:r>
      <w:r w:rsidR="00546772" w:rsidRPr="00C94055">
        <w:rPr>
          <w:b/>
        </w:rPr>
        <w:t>C</w:t>
      </w:r>
      <w:r w:rsidR="00541DF7">
        <w:rPr>
          <w:b/>
        </w:rPr>
        <w:t xml:space="preserve">onsent </w:t>
      </w:r>
      <w:r w:rsidR="00546772">
        <w:rPr>
          <w:b/>
        </w:rPr>
        <w:t>D</w:t>
      </w:r>
      <w:r w:rsidR="00541DF7">
        <w:rPr>
          <w:b/>
        </w:rPr>
        <w:t>ocument</w:t>
      </w:r>
      <w:r w:rsidR="00546772" w:rsidRPr="00C94055">
        <w:rPr>
          <w:b/>
        </w:rPr>
        <w:t xml:space="preserve"> </w:t>
      </w:r>
      <w:r w:rsidR="00DC48CE" w:rsidRPr="00C94055">
        <w:rPr>
          <w:b/>
        </w:rPr>
        <w:t xml:space="preserve">Review </w:t>
      </w:r>
      <w:r w:rsidR="00AF03A3">
        <w:rPr>
          <w:b/>
        </w:rPr>
        <w:t>C</w:t>
      </w:r>
      <w:r w:rsidR="00DC48CE" w:rsidRPr="00C94055">
        <w:rPr>
          <w:b/>
        </w:rPr>
        <w:t>hecklist</w:t>
      </w:r>
      <w:r w:rsidR="00DC48CE">
        <w:t xml:space="preserve"> can be used to </w:t>
      </w:r>
      <w:r>
        <w:t xml:space="preserve">conduct a quality review of the </w:t>
      </w:r>
      <w:r w:rsidR="00546772">
        <w:t>CD</w:t>
      </w:r>
      <w:r>
        <w:t xml:space="preserve">; it will ensure that all required elements are included and that the </w:t>
      </w:r>
      <w:r w:rsidR="00546772">
        <w:t xml:space="preserve">CD </w:t>
      </w:r>
      <w:r>
        <w:t>is consistent with the protocol.</w:t>
      </w:r>
      <w:r w:rsidR="00F566B0">
        <w:t xml:space="preserve"> See the Consent Documents folder of Clinical Tool Box.</w:t>
      </w:r>
    </w:p>
    <w:p w14:paraId="5069FFE0" w14:textId="77777777" w:rsidR="00F53922" w:rsidRDefault="00F53922" w:rsidP="001521EB">
      <w:pPr>
        <w:pStyle w:val="CROMSText"/>
      </w:pPr>
      <w:r>
        <w:t>Assent documents for minors and other subjects not able to provide consent will also be developed and reviewed as needed.</w:t>
      </w:r>
    </w:p>
    <w:p w14:paraId="0D8A0B72" w14:textId="77777777" w:rsidR="005E0716" w:rsidRDefault="00B00A59" w:rsidP="005E0716">
      <w:pPr>
        <w:pStyle w:val="Heading2"/>
      </w:pPr>
      <w:bookmarkStart w:id="10" w:name="_Toc375231192"/>
      <w:r>
        <w:t>Other Reviews and Approvals</w:t>
      </w:r>
      <w:r w:rsidR="005E0716">
        <w:t xml:space="preserve"> </w:t>
      </w:r>
      <w:r w:rsidR="0078191E">
        <w:t>of Protocol and Consent/Assent Documents</w:t>
      </w:r>
      <w:bookmarkEnd w:id="10"/>
    </w:p>
    <w:p w14:paraId="03E5CA71" w14:textId="77777777" w:rsidR="004B4E4B" w:rsidRDefault="008077D4" w:rsidP="00CA5F34">
      <w:pPr>
        <w:pStyle w:val="Heading3"/>
      </w:pPr>
      <w:bookmarkStart w:id="11" w:name="_Toc275225430"/>
      <w:bookmarkStart w:id="12" w:name="_Toc375231193"/>
      <w:r w:rsidRPr="008077D4">
        <w:t>Scientific or Local Research Committee, Radiation or Other Therapeutic Review Committee</w:t>
      </w:r>
      <w:bookmarkEnd w:id="11"/>
      <w:bookmarkEnd w:id="12"/>
    </w:p>
    <w:p w14:paraId="2194031B" w14:textId="77777777" w:rsidR="002F7BE9" w:rsidRPr="002F7BE9" w:rsidRDefault="002F7BE9" w:rsidP="002F7BE9">
      <w:pPr>
        <w:pStyle w:val="CROMSText"/>
      </w:pPr>
      <w:r>
        <w:t xml:space="preserve">A clinical institution may require that the protocol and </w:t>
      </w:r>
      <w:r w:rsidR="00546772">
        <w:t>CD</w:t>
      </w:r>
      <w:r>
        <w:t xml:space="preserve"> be reviewed by a scientific or other local research committee and/or a radiation or other therapeutic review committee.  Often this review is conducted prior to the IRB and DSMB review.  </w:t>
      </w:r>
    </w:p>
    <w:p w14:paraId="4647E32C" w14:textId="77777777" w:rsidR="004B4E4B" w:rsidRDefault="008077D4" w:rsidP="00CA5F34">
      <w:pPr>
        <w:pStyle w:val="Heading3"/>
      </w:pPr>
      <w:bookmarkStart w:id="13" w:name="_Toc275225431"/>
      <w:bookmarkStart w:id="14" w:name="_Ref280163858"/>
      <w:bookmarkStart w:id="15" w:name="_Toc375231194"/>
      <w:r w:rsidRPr="008077D4">
        <w:t>NIDCR Safety Oversight Review</w:t>
      </w:r>
      <w:bookmarkEnd w:id="13"/>
      <w:bookmarkEnd w:id="14"/>
      <w:bookmarkEnd w:id="15"/>
    </w:p>
    <w:p w14:paraId="4EE2E9F2" w14:textId="77777777" w:rsidR="00CF0B7B" w:rsidRDefault="00E051C3" w:rsidP="002F7BE9">
      <w:pPr>
        <w:pStyle w:val="CROMSText"/>
      </w:pPr>
      <w:r>
        <w:t xml:space="preserve">The purpose of the NIDCR safety oversight review is </w:t>
      </w:r>
      <w:r w:rsidRPr="00E051C3">
        <w:t xml:space="preserve">to independently assess the </w:t>
      </w:r>
      <w:r w:rsidR="00D01307">
        <w:t xml:space="preserve">safety data (e.g., adverse events and unanticipated problems) as well as study </w:t>
      </w:r>
      <w:r w:rsidRPr="00E051C3">
        <w:t xml:space="preserve">progress </w:t>
      </w:r>
      <w:r w:rsidR="00D01307">
        <w:t xml:space="preserve">(e.g., recruitment and enrollment), study conduct (e.g., protocol deviations), and </w:t>
      </w:r>
      <w:r w:rsidR="006D5EB3">
        <w:t xml:space="preserve">key data elements </w:t>
      </w:r>
      <w:r w:rsidR="00D01307">
        <w:t>determined on an individual study basis.</w:t>
      </w:r>
      <w:r w:rsidRPr="00E051C3">
        <w:t xml:space="preserve"> </w:t>
      </w:r>
      <w:r w:rsidR="00E04E83">
        <w:t xml:space="preserve"> </w:t>
      </w:r>
      <w:r w:rsidR="00B57D9E">
        <w:t>All studies are assessed to determine the level of data and safety oversight required.  S</w:t>
      </w:r>
      <w:r w:rsidR="00C12E70">
        <w:t>tudies</w:t>
      </w:r>
      <w:r w:rsidR="00CF0B7B">
        <w:t xml:space="preserve"> </w:t>
      </w:r>
      <w:r w:rsidR="00FA4DE9">
        <w:t xml:space="preserve">requiring additional oversight </w:t>
      </w:r>
      <w:r w:rsidR="00C12E70">
        <w:t>may be assigned to safety oversight committees</w:t>
      </w:r>
      <w:r w:rsidR="00E04E83">
        <w:t xml:space="preserve"> (i.e., Data and Safety Monitoring Board </w:t>
      </w:r>
      <w:r w:rsidR="00D82B29">
        <w:t>[</w:t>
      </w:r>
      <w:r w:rsidR="00E04E83">
        <w:t>DSMB</w:t>
      </w:r>
      <w:r w:rsidR="00D82B29">
        <w:t>]</w:t>
      </w:r>
      <w:r w:rsidR="00A12530">
        <w:rPr>
          <w:rStyle w:val="FootnoteReference"/>
        </w:rPr>
        <w:footnoteReference w:id="1"/>
      </w:r>
      <w:r w:rsidR="00E04E83">
        <w:t xml:space="preserve"> or Clinical S</w:t>
      </w:r>
      <w:r w:rsidR="00571FD7">
        <w:t>tudy</w:t>
      </w:r>
      <w:r w:rsidR="00E04E83">
        <w:t xml:space="preserve"> Over</w:t>
      </w:r>
      <w:r w:rsidR="00293138">
        <w:t>sight</w:t>
      </w:r>
      <w:r w:rsidR="00E04E83">
        <w:t xml:space="preserve"> Committee [CSOC]) </w:t>
      </w:r>
      <w:r w:rsidR="00C12E70">
        <w:t xml:space="preserve">or to the Medical Monitor for </w:t>
      </w:r>
      <w:r w:rsidR="00571FD7">
        <w:t xml:space="preserve">both </w:t>
      </w:r>
      <w:r w:rsidR="00FA4DE9">
        <w:t xml:space="preserve">an initial protocol review and for ongoing </w:t>
      </w:r>
      <w:r w:rsidR="00C12E70">
        <w:t>review</w:t>
      </w:r>
      <w:r w:rsidR="003461A7">
        <w:t>s</w:t>
      </w:r>
      <w:r w:rsidR="00FA4DE9">
        <w:t xml:space="preserve"> during the data collection portion of the studies</w:t>
      </w:r>
      <w:r w:rsidR="00571FD7">
        <w:t>.</w:t>
      </w:r>
      <w:r w:rsidR="005B4651">
        <w:t xml:space="preserve"> </w:t>
      </w:r>
    </w:p>
    <w:p w14:paraId="7235D662" w14:textId="77777777" w:rsidR="002F7BE9" w:rsidRDefault="00C303AA" w:rsidP="002F7BE9">
      <w:pPr>
        <w:pStyle w:val="CROMSText"/>
      </w:pPr>
      <w:r>
        <w:t>P</w:t>
      </w:r>
      <w:r w:rsidR="00214012">
        <w:t xml:space="preserve">rotocol and </w:t>
      </w:r>
      <w:r w:rsidR="00546772">
        <w:t>CD</w:t>
      </w:r>
      <w:r w:rsidR="00214012">
        <w:t xml:space="preserve"> review </w:t>
      </w:r>
      <w:r>
        <w:t xml:space="preserve">should be completed </w:t>
      </w:r>
      <w:r w:rsidR="00F32EC0">
        <w:t xml:space="preserve">by </w:t>
      </w:r>
      <w:r w:rsidR="00AD016D">
        <w:t xml:space="preserve">the designated </w:t>
      </w:r>
      <w:r w:rsidR="00571FD7">
        <w:t>DSMB/CSOC/Medical Monitor</w:t>
      </w:r>
      <w:r w:rsidR="00080632">
        <w:t xml:space="preserve"> </w:t>
      </w:r>
      <w:r w:rsidR="00D8614F">
        <w:t xml:space="preserve">after the protocol team has completed their review and </w:t>
      </w:r>
      <w:r w:rsidR="00214012">
        <w:t xml:space="preserve">prior to site activation.  </w:t>
      </w:r>
      <w:r w:rsidR="00CF0B7B">
        <w:t>The Program Official</w:t>
      </w:r>
      <w:r w:rsidR="00571FD7">
        <w:t xml:space="preserve"> (PO)</w:t>
      </w:r>
      <w:r w:rsidR="00CF0B7B">
        <w:t xml:space="preserve"> will provide the oversight-review-ready protocol and CD to OCTOM and the Medical Monitor. </w:t>
      </w:r>
      <w:r w:rsidR="00D8614F">
        <w:t xml:space="preserve">For protocols requiring committee review, </w:t>
      </w:r>
      <w:r w:rsidR="00F32EC0">
        <w:t xml:space="preserve">an OCTOM representative will </w:t>
      </w:r>
      <w:r w:rsidR="00F32EC0">
        <w:lastRenderedPageBreak/>
        <w:t xml:space="preserve">ensure that the protocol is added to the designated </w:t>
      </w:r>
      <w:r w:rsidR="00503AE3">
        <w:t>safety oversight committee</w:t>
      </w:r>
      <w:r w:rsidR="00F32EC0">
        <w:t xml:space="preserve"> docket for review at an upcoming meeting. </w:t>
      </w:r>
      <w:r w:rsidR="00214012">
        <w:t xml:space="preserve"> </w:t>
      </w:r>
      <w:r w:rsidR="004C6618">
        <w:t>Each DSMB or CSOC will be guided by a written charter.</w:t>
      </w:r>
    </w:p>
    <w:p w14:paraId="166E55E8" w14:textId="77777777" w:rsidR="00214012" w:rsidRDefault="00214012" w:rsidP="002F7BE9">
      <w:pPr>
        <w:pStyle w:val="CROMSText"/>
      </w:pPr>
      <w:r>
        <w:t xml:space="preserve">It is best practice to submit the protocol and </w:t>
      </w:r>
      <w:r w:rsidR="00546772">
        <w:t>CD</w:t>
      </w:r>
      <w:r>
        <w:t xml:space="preserve"> </w:t>
      </w:r>
      <w:r w:rsidR="00F23714">
        <w:t xml:space="preserve">for a </w:t>
      </w:r>
      <w:r w:rsidR="003D326F">
        <w:t>Safety Oversight review</w:t>
      </w:r>
      <w:r>
        <w:t xml:space="preserve"> prior to submitting to the Institutional Review Board (IRB).  </w:t>
      </w:r>
      <w:r w:rsidR="00080632">
        <w:t>In this way, any recommended changes can be implemented prior to submission of the documents to the IRB</w:t>
      </w:r>
      <w:r w:rsidR="005515D9">
        <w:t>,</w:t>
      </w:r>
      <w:r w:rsidR="00080632">
        <w:t xml:space="preserve"> </w:t>
      </w:r>
      <w:r w:rsidR="005515D9">
        <w:t>t</w:t>
      </w:r>
      <w:r w:rsidR="00080632">
        <w:t>hus reducing the likelihood of an extra IRB update cycle.</w:t>
      </w:r>
    </w:p>
    <w:p w14:paraId="21E252C4" w14:textId="77777777" w:rsidR="004630F2" w:rsidRPr="002F7BE9" w:rsidRDefault="00E04E83" w:rsidP="002F7BE9">
      <w:pPr>
        <w:pStyle w:val="CROMSText"/>
      </w:pPr>
      <w:r>
        <w:t xml:space="preserve">In addition to an initial review of the protocol and CD, the study will be scheduled for regular reviews (e.g., yearly) by the DSMB/CSOC/Medical Monitor.  </w:t>
      </w:r>
      <w:r w:rsidR="000E1032">
        <w:t xml:space="preserve">Following each </w:t>
      </w:r>
      <w:r>
        <w:t>review</w:t>
      </w:r>
      <w:r w:rsidR="000E1032">
        <w:t xml:space="preserve">, the </w:t>
      </w:r>
      <w:r w:rsidR="003461A7">
        <w:t>DSMB/CSOC/Medical Monitor</w:t>
      </w:r>
      <w:r w:rsidR="000E1032">
        <w:t xml:space="preserve"> will recommend to the NIDCR that the study either (1) continue as presented, (2) continue with modifications that the oversight committee will supply</w:t>
      </w:r>
      <w:r w:rsidR="00A25FD9">
        <w:t>,</w:t>
      </w:r>
      <w:r w:rsidR="000E1032">
        <w:t xml:space="preserve"> or (3) be terminated for cause, with the cause specified.  </w:t>
      </w:r>
      <w:r>
        <w:t>Th</w:t>
      </w:r>
      <w:r w:rsidR="00A148CC">
        <w:t>e</w:t>
      </w:r>
      <w:r>
        <w:t>se r</w:t>
      </w:r>
      <w:r w:rsidR="00012B21">
        <w:t>ecommendations are communicated in writing</w:t>
      </w:r>
      <w:r w:rsidR="00AA78EA">
        <w:t xml:space="preserve"> </w:t>
      </w:r>
      <w:r w:rsidR="000E1032">
        <w:t>to NIDCR.</w:t>
      </w:r>
      <w:r w:rsidR="005515D9">
        <w:t xml:space="preserve"> </w:t>
      </w:r>
      <w:r w:rsidR="00076A7B">
        <w:t xml:space="preserve"> NIDCR will convey accepted recommendations to the </w:t>
      </w:r>
      <w:r w:rsidR="00FC7314">
        <w:t>PI usually within one</w:t>
      </w:r>
      <w:r w:rsidR="00012B21">
        <w:t xml:space="preserve"> month.</w:t>
      </w:r>
    </w:p>
    <w:p w14:paraId="028DE680" w14:textId="77777777" w:rsidR="004B4E4B" w:rsidRDefault="008077D4" w:rsidP="00CA5F34">
      <w:pPr>
        <w:pStyle w:val="Heading3"/>
      </w:pPr>
      <w:bookmarkStart w:id="16" w:name="_Toc275225432"/>
      <w:bookmarkStart w:id="17" w:name="_Ref306187998"/>
      <w:bookmarkStart w:id="18" w:name="_Toc375231195"/>
      <w:r w:rsidRPr="008077D4">
        <w:t>IRB Review</w:t>
      </w:r>
      <w:bookmarkEnd w:id="16"/>
      <w:bookmarkEnd w:id="17"/>
      <w:bookmarkEnd w:id="18"/>
    </w:p>
    <w:p w14:paraId="18D05FF2" w14:textId="77777777" w:rsidR="00012B21" w:rsidRDefault="009D061F" w:rsidP="00012B21">
      <w:pPr>
        <w:pStyle w:val="CROMSText"/>
      </w:pPr>
      <w:r>
        <w:t xml:space="preserve">Follow local IRB guidelines </w:t>
      </w:r>
      <w:r w:rsidR="00012B21">
        <w:t>for creatio</w:t>
      </w:r>
      <w:r w:rsidR="00C53A06">
        <w:t xml:space="preserve">n and submission of materials. </w:t>
      </w:r>
    </w:p>
    <w:p w14:paraId="0CFD772C" w14:textId="77777777" w:rsidR="008E2C0F" w:rsidRDefault="008E2C0F" w:rsidP="00012B21">
      <w:pPr>
        <w:pStyle w:val="CROMSText"/>
      </w:pPr>
      <w:r>
        <w:t xml:space="preserve">For multi-site studies, it is conceivable that </w:t>
      </w:r>
      <w:r w:rsidR="00C53A06">
        <w:t>a</w:t>
      </w:r>
      <w:r w:rsidR="009D061F">
        <w:t xml:space="preserve"> site IRB</w:t>
      </w:r>
      <w:r w:rsidR="00C53A06">
        <w:t xml:space="preserve">, other than </w:t>
      </w:r>
      <w:r w:rsidR="009D061F">
        <w:t>that of the</w:t>
      </w:r>
      <w:r w:rsidR="00C53A06">
        <w:t xml:space="preserve"> lead-site, may recommend changes to the protocol that are not consistent with the protocol that has been accepted at other sites.  In </w:t>
      </w:r>
      <w:r w:rsidR="00B0120C">
        <w:t>some instances</w:t>
      </w:r>
      <w:r w:rsidR="00C53A06">
        <w:t xml:space="preserve">, </w:t>
      </w:r>
      <w:r w:rsidR="00B0120C">
        <w:t>IRBs have</w:t>
      </w:r>
      <w:r w:rsidR="00C53A06">
        <w:t xml:space="preserve"> asked that the protocol be put into the local IRB’s template. It is not feasible </w:t>
      </w:r>
      <w:r w:rsidR="007A1F6A">
        <w:t xml:space="preserve">or good practice </w:t>
      </w:r>
      <w:r w:rsidR="00C53A06">
        <w:t>to have different protocols at different sites</w:t>
      </w:r>
      <w:r w:rsidR="007A1F6A">
        <w:t xml:space="preserve"> for the same study</w:t>
      </w:r>
      <w:r w:rsidR="00A765C1">
        <w:t>;</w:t>
      </w:r>
      <w:r w:rsidR="005515D9">
        <w:t xml:space="preserve"> </w:t>
      </w:r>
      <w:r w:rsidR="00A765C1">
        <w:t xml:space="preserve">such </w:t>
      </w:r>
      <w:r w:rsidR="00AA78EA">
        <w:t>cases will</w:t>
      </w:r>
      <w:r w:rsidR="005515D9">
        <w:t xml:space="preserve"> require further discussion </w:t>
      </w:r>
      <w:r w:rsidR="00327EAA">
        <w:t>with the study team</w:t>
      </w:r>
      <w:r w:rsidR="00AA78EA">
        <w:t>.</w:t>
      </w:r>
      <w:r w:rsidR="00C53A06">
        <w:t xml:space="preserve"> </w:t>
      </w:r>
      <w:r w:rsidR="00BA7A9A">
        <w:t xml:space="preserve"> </w:t>
      </w:r>
      <w:r w:rsidR="00B0120C">
        <w:t xml:space="preserve">If the IRB </w:t>
      </w:r>
      <w:r w:rsidR="009D061F">
        <w:t>continues to require a particular</w:t>
      </w:r>
      <w:r w:rsidR="00B0120C">
        <w:t xml:space="preserve"> protocol change, then it will likely be necessary to amend the protocol at the other participating sites as well.</w:t>
      </w:r>
    </w:p>
    <w:p w14:paraId="72D19C90" w14:textId="77777777" w:rsidR="00B0120C" w:rsidRDefault="00E47634" w:rsidP="00012B21">
      <w:pPr>
        <w:pStyle w:val="CROMSText"/>
      </w:pPr>
      <w:r>
        <w:t xml:space="preserve">The protocol, </w:t>
      </w:r>
      <w:r w:rsidR="00546772">
        <w:t>CD</w:t>
      </w:r>
      <w:r>
        <w:t>, and other relevant study related materials</w:t>
      </w:r>
      <w:r w:rsidR="00B0120C">
        <w:t xml:space="preserve"> must be approved by the</w:t>
      </w:r>
      <w:r>
        <w:t xml:space="preserve"> site’s IRB before that site is initiated.</w:t>
      </w:r>
    </w:p>
    <w:p w14:paraId="6E702863" w14:textId="77777777" w:rsidR="004B4E4B" w:rsidRDefault="007C3100" w:rsidP="00CA5F34">
      <w:pPr>
        <w:pStyle w:val="Heading2"/>
      </w:pPr>
      <w:bookmarkStart w:id="19" w:name="_Toc375231196"/>
      <w:r>
        <w:t>Study Plan, Timeline, and Communication Plan</w:t>
      </w:r>
      <w:bookmarkEnd w:id="19"/>
      <w:r>
        <w:t xml:space="preserve"> </w:t>
      </w:r>
    </w:p>
    <w:p w14:paraId="5FCA4357" w14:textId="77777777" w:rsidR="007C3100" w:rsidRPr="009D061F" w:rsidRDefault="007C3100" w:rsidP="007C3100">
      <w:pPr>
        <w:pStyle w:val="CROMSText"/>
      </w:pPr>
      <w:r>
        <w:t>It is very important to establish a study plan that identifies all of the required activities that must be completed during the start</w:t>
      </w:r>
      <w:r w:rsidR="002D3992">
        <w:t>-</w:t>
      </w:r>
      <w:r>
        <w:t xml:space="preserve">up process.  The plan should also identify dependencies between </w:t>
      </w:r>
      <w:r>
        <w:lastRenderedPageBreak/>
        <w:t>various activities so that the study team understands the impact of one set of activities on another.</w:t>
      </w:r>
    </w:p>
    <w:p w14:paraId="6D8657AA" w14:textId="77777777" w:rsidR="004B4E4B" w:rsidRDefault="007C3100" w:rsidP="00CA5F34">
      <w:pPr>
        <w:pStyle w:val="Heading3"/>
      </w:pPr>
      <w:bookmarkStart w:id="20" w:name="_Toc375231197"/>
      <w:r>
        <w:t>Identify all Parties who will be Participating in the Study and Clarify the Responsibilities</w:t>
      </w:r>
      <w:bookmarkEnd w:id="20"/>
      <w:r>
        <w:t xml:space="preserve"> </w:t>
      </w:r>
    </w:p>
    <w:p w14:paraId="55DE06A6" w14:textId="77777777" w:rsidR="007C3100" w:rsidRDefault="007C3100" w:rsidP="007C3100">
      <w:pPr>
        <w:pStyle w:val="CROMSText"/>
      </w:pPr>
      <w:r>
        <w:t xml:space="preserve">Ensure that all study start-up activities are explicitly assigned.  The </w:t>
      </w:r>
      <w:r w:rsidRPr="00E15CD1">
        <w:rPr>
          <w:b/>
        </w:rPr>
        <w:t xml:space="preserve">Task Distribution </w:t>
      </w:r>
      <w:r>
        <w:rPr>
          <w:b/>
        </w:rPr>
        <w:t>Checklist</w:t>
      </w:r>
      <w:r>
        <w:t xml:space="preserve"> can be used to support this goal</w:t>
      </w:r>
      <w:r w:rsidR="00F566B0">
        <w:t xml:space="preserve"> (see the Project Management folder of Clinical Tool Box</w:t>
      </w:r>
      <w:r w:rsidR="00E75CFD">
        <w:t xml:space="preserve"> and the NIDCR</w:t>
      </w:r>
      <w:r w:rsidR="00782AA4">
        <w:t>’s</w:t>
      </w:r>
      <w:r w:rsidR="00E75CFD">
        <w:t xml:space="preserve"> Toolkit</w:t>
      </w:r>
      <w:r w:rsidR="00782AA4">
        <w:t xml:space="preserve"> for Clinical Researchers</w:t>
      </w:r>
      <w:r w:rsidR="005C1E4E">
        <w:t xml:space="preserve"> website</w:t>
      </w:r>
      <w:r w:rsidR="00F566B0">
        <w:t>)</w:t>
      </w:r>
      <w:r>
        <w:t xml:space="preserve">. This spreadsheet includes a comprehensive list of research activities and a means to identify the relevant group responsible for each.  It also affords the ability to differentiate subtask responsibilities (e.g., author vs. reviewer vs. approver).  </w:t>
      </w:r>
    </w:p>
    <w:p w14:paraId="41B1EBBE" w14:textId="77777777" w:rsidR="007C3100" w:rsidRDefault="007C3100" w:rsidP="007C3100">
      <w:pPr>
        <w:pStyle w:val="CROMSText"/>
      </w:pPr>
      <w:r>
        <w:t>In certain cases of an Investigational New Drug application (IND), the IND sponsor may wish to officially transfer some of th</w:t>
      </w:r>
      <w:r w:rsidR="00241AF4">
        <w:t xml:space="preserve">e sponsor obligations. </w:t>
      </w:r>
      <w:r>
        <w:t>This requires that the transferred obligations are documented, the document is signed, and it is provided to the Food and Drug Administration (FDA) as part of the IND.</w:t>
      </w:r>
    </w:p>
    <w:p w14:paraId="61AD9EE7" w14:textId="77777777" w:rsidR="007C3100" w:rsidRDefault="007C3100" w:rsidP="007C3100">
      <w:pPr>
        <w:pStyle w:val="CROMSText"/>
      </w:pPr>
      <w:r>
        <w:t xml:space="preserve">The </w:t>
      </w:r>
      <w:r w:rsidRPr="00104B33">
        <w:rPr>
          <w:b/>
        </w:rPr>
        <w:t>Delegation of Responsibilities Log</w:t>
      </w:r>
      <w:r>
        <w:t xml:space="preserve"> is used by a clinical site to specify the names of individuals who will be responsible for implementing specified protocol activities</w:t>
      </w:r>
      <w:r w:rsidR="00F566B0">
        <w:t xml:space="preserve"> (see the Essential Documents </w:t>
      </w:r>
      <w:r w:rsidR="00E75CFD">
        <w:t xml:space="preserve">section </w:t>
      </w:r>
      <w:r w:rsidR="00F566B0">
        <w:t xml:space="preserve">in </w:t>
      </w:r>
      <w:r w:rsidR="00E75CFD">
        <w:t xml:space="preserve">the </w:t>
      </w:r>
      <w:r w:rsidR="00F566B0">
        <w:t>Clinical Tool Box</w:t>
      </w:r>
      <w:r w:rsidR="00E75CFD">
        <w:t xml:space="preserve"> and the NIDCR Toolkit</w:t>
      </w:r>
      <w:r w:rsidR="00F566B0">
        <w:t>)</w:t>
      </w:r>
      <w:r>
        <w:t xml:space="preserve">.  This document will be completed prior to site initiation. </w:t>
      </w:r>
    </w:p>
    <w:p w14:paraId="5CB5FDAD" w14:textId="77777777" w:rsidR="004B4E4B" w:rsidRDefault="0022660F" w:rsidP="00CA5F34">
      <w:pPr>
        <w:pStyle w:val="Heading3"/>
      </w:pPr>
      <w:bookmarkStart w:id="21" w:name="_Ref306187941"/>
      <w:bookmarkStart w:id="22" w:name="_Toc375231198"/>
      <w:r>
        <w:t>Prepare T</w:t>
      </w:r>
      <w:r w:rsidR="007C3100">
        <w:t>imeline or Start-up Tracking Tool</w:t>
      </w:r>
      <w:bookmarkEnd w:id="21"/>
      <w:bookmarkEnd w:id="22"/>
      <w:r w:rsidR="007C3100">
        <w:t xml:space="preserve"> </w:t>
      </w:r>
    </w:p>
    <w:p w14:paraId="4CD1B60E" w14:textId="77777777" w:rsidR="007C3100" w:rsidRDefault="007C3100" w:rsidP="007C3100">
      <w:pPr>
        <w:pStyle w:val="CROMSText"/>
      </w:pPr>
      <w:r>
        <w:t xml:space="preserve">Once the full set of study activities is identified and the owner of each activity is established, a study start-up timeline or tracking tool should be prepared.  There are several options for tools to support this effort.  The </w:t>
      </w:r>
      <w:r w:rsidRPr="00321564">
        <w:rPr>
          <w:b/>
        </w:rPr>
        <w:t>Countdown to Enrollment</w:t>
      </w:r>
      <w:r w:rsidRPr="00AC4BFB">
        <w:t xml:space="preserve"> </w:t>
      </w:r>
      <w:r>
        <w:t>is an Excel file that lists all of the study specific start</w:t>
      </w:r>
      <w:r w:rsidR="002D3992">
        <w:t>-</w:t>
      </w:r>
      <w:r>
        <w:t>up activities along with the responsible parties and whether or not the activity is required a) before the first subject can be enrolled in the study; b) before the first subject can be enrolled at a specific site; or c) before an individual is permitted to engage in an activity (e.g., completion of randomization system training may be required prior to authorizing an individual to be able to use the randomization system to enroll a subject</w:t>
      </w:r>
      <w:r w:rsidR="002C03AD">
        <w:t>).</w:t>
      </w:r>
      <w:r>
        <w:t xml:space="preserve">  The document also captures projected and actual dates of activity completion and denotes via comment the other activities </w:t>
      </w:r>
      <w:r>
        <w:lastRenderedPageBreak/>
        <w:t xml:space="preserve">that are required prior to the completion of other activities.  </w:t>
      </w:r>
      <w:r w:rsidR="00FE7B9F">
        <w:t>This tool is available in the Project Management folder of the Clinical Tool Box.</w:t>
      </w:r>
    </w:p>
    <w:p w14:paraId="2442199E" w14:textId="77777777" w:rsidR="007C3100" w:rsidRDefault="007C3100" w:rsidP="007C3100">
      <w:pPr>
        <w:pStyle w:val="CROMSText"/>
      </w:pPr>
      <w:r>
        <w:t xml:space="preserve">There are project management software programs available that support the development of a start-up timeline and Gantt chart including Microsoft Project. Other project management applications may also be used. </w:t>
      </w:r>
    </w:p>
    <w:p w14:paraId="16DD96C5" w14:textId="77777777" w:rsidR="007C3100" w:rsidRDefault="007C3100" w:rsidP="007C3100">
      <w:pPr>
        <w:pStyle w:val="CROMSText"/>
      </w:pPr>
      <w:r>
        <w:t xml:space="preserve">The </w:t>
      </w:r>
      <w:r w:rsidR="00241AF4">
        <w:t>s</w:t>
      </w:r>
      <w:r w:rsidR="00DD108B" w:rsidRPr="00241AF4">
        <w:t>tudy</w:t>
      </w:r>
      <w:r w:rsidR="00DD108B" w:rsidRPr="00DD108B">
        <w:rPr>
          <w:b/>
        </w:rPr>
        <w:t xml:space="preserve"> Start-up Timeline Calculator</w:t>
      </w:r>
      <w:r>
        <w:t xml:space="preserve"> takes advantage of more widely available software (i.e., MS Excel) while simultaneously providing the opportunity to model activity dependencies.  There is a simple version of this calculator that can be used to get a rough estimate of when enrollment can begin and a more complex calculator that can be used to create a detailed start-up timeline with dependencies.</w:t>
      </w:r>
      <w:r w:rsidR="00680854" w:rsidRPr="00680854">
        <w:t xml:space="preserve"> </w:t>
      </w:r>
      <w:r w:rsidR="00680854">
        <w:t xml:space="preserve">This tool is available in the Project Management folder of Clinical Tool Box and </w:t>
      </w:r>
      <w:r w:rsidR="00782AA4">
        <w:t xml:space="preserve">in </w:t>
      </w:r>
      <w:r w:rsidR="00680854">
        <w:t>the NIDCR Toolkit.</w:t>
      </w:r>
    </w:p>
    <w:p w14:paraId="4DEDCB46" w14:textId="77777777" w:rsidR="004B4E4B" w:rsidRDefault="007C3100" w:rsidP="00CA5F34">
      <w:pPr>
        <w:pStyle w:val="Heading3"/>
      </w:pPr>
      <w:bookmarkStart w:id="23" w:name="_Toc375231199"/>
      <w:r>
        <w:t>Conduct Regular Meetings during Start-up</w:t>
      </w:r>
      <w:bookmarkEnd w:id="23"/>
    </w:p>
    <w:p w14:paraId="369C0FC0" w14:textId="77777777" w:rsidR="007C3100" w:rsidRDefault="007C3100" w:rsidP="007C3100">
      <w:pPr>
        <w:pStyle w:val="CROMSText"/>
      </w:pPr>
      <w:r>
        <w:t xml:space="preserve">Regular meetings with study staff, the PI, and the site PIs will facilitate study organization, communication, and tracking of progress toward initiation and activation. An OCTOM representative may participate in these meetings as well. The </w:t>
      </w:r>
      <w:r w:rsidRPr="007510A8">
        <w:rPr>
          <w:b/>
        </w:rPr>
        <w:t>Running Agenda and Meeting Minutes</w:t>
      </w:r>
      <w:r>
        <w:t xml:space="preserve"> </w:t>
      </w:r>
      <w:r w:rsidRPr="007510A8">
        <w:rPr>
          <w:b/>
        </w:rPr>
        <w:t xml:space="preserve">(RAMM) </w:t>
      </w:r>
      <w:r>
        <w:t>document is an MS Excel file with multiple spreadsheets</w:t>
      </w:r>
      <w:r w:rsidR="00AC4BFB">
        <w:t xml:space="preserve"> (see the Project Management folder of Clinical Tool Box</w:t>
      </w:r>
      <w:r w:rsidR="000E40D3">
        <w:t xml:space="preserve"> and the NIDCR Toolkit</w:t>
      </w:r>
      <w:r w:rsidR="00AC4BFB">
        <w:t>)</w:t>
      </w:r>
      <w:r>
        <w:t xml:space="preserve">.  The document acts both as minutes from previous meetings and an agenda for the upcoming meeting.  Additional pages of the spreadsheet capture study announcements, action items, and decisions.  This one document retains items from all previous meetings, so that the one file is a complete archive for meeting minutes.  </w:t>
      </w:r>
    </w:p>
    <w:p w14:paraId="1C1511FE" w14:textId="77777777" w:rsidR="007C3100" w:rsidRPr="007D4415" w:rsidRDefault="007C3100" w:rsidP="007C3100">
      <w:pPr>
        <w:pStyle w:val="CROMSText"/>
      </w:pPr>
      <w:r>
        <w:t xml:space="preserve">Regardless of the choice of start-up tracking tool (see </w:t>
      </w:r>
      <w:r w:rsidR="0022660F">
        <w:t xml:space="preserve">Section </w:t>
      </w:r>
      <w:r w:rsidR="00BA2600">
        <w:rPr>
          <w:highlight w:val="yellow"/>
        </w:rPr>
        <w:fldChar w:fldCharType="begin"/>
      </w:r>
      <w:r w:rsidR="0022660F">
        <w:instrText xml:space="preserve"> REF _Ref306187941 \r \h </w:instrText>
      </w:r>
      <w:r w:rsidR="00BA2600">
        <w:rPr>
          <w:highlight w:val="yellow"/>
        </w:rPr>
      </w:r>
      <w:r w:rsidR="00BA2600">
        <w:rPr>
          <w:highlight w:val="yellow"/>
        </w:rPr>
        <w:fldChar w:fldCharType="separate"/>
      </w:r>
      <w:r w:rsidR="00791B9C">
        <w:t>3.3.2</w:t>
      </w:r>
      <w:r w:rsidR="00BA2600">
        <w:rPr>
          <w:highlight w:val="yellow"/>
        </w:rPr>
        <w:fldChar w:fldCharType="end"/>
      </w:r>
      <w:r>
        <w:t>), it is strongly recommended that the tool is prepared early in the start-up process, maintained vigorously during the process, and discussed regularly at team meetings, so that implications of missed target dates can be illuminated.</w:t>
      </w:r>
    </w:p>
    <w:p w14:paraId="6F5FFD8F" w14:textId="77777777" w:rsidR="004B4E4B" w:rsidRDefault="00810DFF" w:rsidP="00CA5F34">
      <w:pPr>
        <w:pStyle w:val="Heading2"/>
      </w:pPr>
      <w:bookmarkStart w:id="24" w:name="_Toc375231200"/>
      <w:r>
        <w:t>Manual of Procedures (MOP) or Other Study Process Documentation</w:t>
      </w:r>
      <w:bookmarkEnd w:id="24"/>
      <w:r>
        <w:t xml:space="preserve"> </w:t>
      </w:r>
    </w:p>
    <w:p w14:paraId="508F514E" w14:textId="77777777" w:rsidR="00810DFF" w:rsidRDefault="00810DFF" w:rsidP="00810DFF">
      <w:pPr>
        <w:pStyle w:val="CROMSText"/>
        <w:rPr>
          <w:rFonts w:cs="Arial"/>
        </w:rPr>
      </w:pPr>
      <w:r w:rsidRPr="00CE77B7">
        <w:t>A M</w:t>
      </w:r>
      <w:r>
        <w:t>anual of Procedures (MOP)</w:t>
      </w:r>
      <w:r w:rsidRPr="00CE77B7">
        <w:t xml:space="preserve"> is a handbook that </w:t>
      </w:r>
      <w:r>
        <w:t>guides</w:t>
      </w:r>
      <w:r w:rsidRPr="00CE77B7">
        <w:t xml:space="preserve"> a study’s conduct and operations.  It supplements the study protocol by </w:t>
      </w:r>
      <w:r>
        <w:t xml:space="preserve">detailing </w:t>
      </w:r>
      <w:r w:rsidRPr="00CE77B7">
        <w:t xml:space="preserve">a study’s organization, operational data definitions, </w:t>
      </w:r>
      <w:r w:rsidRPr="00CE77B7">
        <w:lastRenderedPageBreak/>
        <w:t xml:space="preserve">recruitment, screening, enrollment, randomization, intervention procedures and follow-up procedures, data collection methods, data flow, Case Report Forms (CRFs), and quality control procedures.  </w:t>
      </w:r>
      <w:r w:rsidRPr="00FD4860">
        <w:t xml:space="preserve">The purpose of the MOP is to facilitate consistency in protocol implementation and data collection across participants and clinical sites.  </w:t>
      </w:r>
      <w:r>
        <w:t xml:space="preserve">Procedures in the MOP should be followed with the same degree of vigor as those documented in the protocol. </w:t>
      </w:r>
      <w:r w:rsidRPr="00FD4860">
        <w:rPr>
          <w:rFonts w:cs="Arial"/>
        </w:rPr>
        <w:t>Use of the MOP i</w:t>
      </w:r>
      <w:r w:rsidRPr="00CE77B7">
        <w:rPr>
          <w:rFonts w:cs="Arial"/>
        </w:rPr>
        <w:t xml:space="preserve">ncreases the likelihood that the results of the study will be scientifically credible and provides reassurance that </w:t>
      </w:r>
      <w:r>
        <w:rPr>
          <w:rFonts w:cs="Arial"/>
        </w:rPr>
        <w:t>participant</w:t>
      </w:r>
      <w:r w:rsidRPr="00CE77B7">
        <w:rPr>
          <w:rFonts w:cs="Arial"/>
        </w:rPr>
        <w:t xml:space="preserve"> safety and scientific integrity are closely monitored.</w:t>
      </w:r>
    </w:p>
    <w:p w14:paraId="252F0F01" w14:textId="77777777" w:rsidR="00810DFF" w:rsidRDefault="00810DFF" w:rsidP="00810DFF">
      <w:pPr>
        <w:pStyle w:val="CROMSText"/>
      </w:pPr>
      <w:r>
        <w:t>A MOP or set of study</w:t>
      </w:r>
      <w:r w:rsidR="005B1215">
        <w:t>-</w:t>
      </w:r>
      <w:r>
        <w:t xml:space="preserve">specific </w:t>
      </w:r>
      <w:r w:rsidR="005B1215">
        <w:t>Standard Operating Procedures (</w:t>
      </w:r>
      <w:r>
        <w:t>SOP</w:t>
      </w:r>
      <w:r w:rsidR="00BE48C6">
        <w:t>s</w:t>
      </w:r>
      <w:r w:rsidR="005B1215">
        <w:t>)</w:t>
      </w:r>
      <w:r>
        <w:t xml:space="preserve"> and other procedural documents should be prepared prior to site initiation.  See the </w:t>
      </w:r>
      <w:r w:rsidRPr="00CC6AD8">
        <w:rPr>
          <w:b/>
        </w:rPr>
        <w:t>M</w:t>
      </w:r>
      <w:r>
        <w:rPr>
          <w:b/>
        </w:rPr>
        <w:t>anual of Procedures</w:t>
      </w:r>
      <w:r w:rsidRPr="00CC6AD8">
        <w:rPr>
          <w:b/>
        </w:rPr>
        <w:t xml:space="preserve"> Template</w:t>
      </w:r>
      <w:r w:rsidR="006C3626" w:rsidRPr="00F03C8A">
        <w:t xml:space="preserve"> </w:t>
      </w:r>
      <w:r w:rsidR="006C3626">
        <w:t>(in the Project Management folder of Clinical Tool Box</w:t>
      </w:r>
      <w:r w:rsidR="0053184A">
        <w:t xml:space="preserve"> and in </w:t>
      </w:r>
      <w:r w:rsidR="004944BF">
        <w:t xml:space="preserve">the </w:t>
      </w:r>
      <w:r w:rsidR="0053184A">
        <w:t>NIDCR Toolkit</w:t>
      </w:r>
      <w:r w:rsidR="006C3626">
        <w:t>)</w:t>
      </w:r>
      <w:r>
        <w:t xml:space="preserve"> for a template that includes detailed guidance for the content.</w:t>
      </w:r>
    </w:p>
    <w:p w14:paraId="195F61E6" w14:textId="77777777" w:rsidR="0020173D" w:rsidRDefault="005E0716" w:rsidP="00CA5F34">
      <w:pPr>
        <w:pStyle w:val="Heading1"/>
      </w:pPr>
      <w:bookmarkStart w:id="25" w:name="_Toc306184334"/>
      <w:bookmarkStart w:id="26" w:name="_Toc375231201"/>
      <w:bookmarkStart w:id="27" w:name="_Toc275225433"/>
      <w:bookmarkEnd w:id="25"/>
      <w:r>
        <w:t>REGULATORY REQUIREMENTS</w:t>
      </w:r>
      <w:bookmarkEnd w:id="26"/>
    </w:p>
    <w:p w14:paraId="7B3B616F" w14:textId="77777777" w:rsidR="004B4E4B" w:rsidRDefault="0020173D" w:rsidP="00CA5F34">
      <w:pPr>
        <w:pStyle w:val="Heading2"/>
      </w:pPr>
      <w:bookmarkStart w:id="28" w:name="_Toc375231202"/>
      <w:r>
        <w:t>Institutional Review Board (IRB)</w:t>
      </w:r>
      <w:bookmarkEnd w:id="28"/>
    </w:p>
    <w:p w14:paraId="3015D7F6" w14:textId="77777777" w:rsidR="004B4E4B" w:rsidRDefault="0020173D">
      <w:pPr>
        <w:pStyle w:val="CROMSText"/>
      </w:pPr>
      <w:r>
        <w:t>Each site will submit the final protocol, consent/assent documents, and other applicable materials to the governing IRB.  IRB approval of materials is required for a) release of grant funds, via the Clinical Terms of Award process and b) site activation for enrollment.</w:t>
      </w:r>
      <w:r w:rsidR="00F03868">
        <w:t xml:space="preserve">  See Section</w:t>
      </w:r>
      <w:r w:rsidR="0022660F">
        <w:t xml:space="preserve"> </w:t>
      </w:r>
      <w:r w:rsidR="00BA2600">
        <w:fldChar w:fldCharType="begin"/>
      </w:r>
      <w:r w:rsidR="0022660F">
        <w:instrText xml:space="preserve"> REF _Ref306187998 \r \h </w:instrText>
      </w:r>
      <w:r w:rsidR="00BA2600">
        <w:fldChar w:fldCharType="separate"/>
      </w:r>
      <w:r w:rsidR="00791B9C">
        <w:t>3.2.3</w:t>
      </w:r>
      <w:r w:rsidR="00BA2600">
        <w:fldChar w:fldCharType="end"/>
      </w:r>
      <w:r w:rsidR="00F03868">
        <w:t xml:space="preserve"> for additional details regarding IRB review.</w:t>
      </w:r>
    </w:p>
    <w:p w14:paraId="510ABCED" w14:textId="77777777" w:rsidR="004B4E4B" w:rsidRDefault="00F03868" w:rsidP="00CA5F34">
      <w:pPr>
        <w:pStyle w:val="Heading2"/>
      </w:pPr>
      <w:bookmarkStart w:id="29" w:name="_Toc375231203"/>
      <w:r>
        <w:t>Submission of Other Applications/Request</w:t>
      </w:r>
      <w:r w:rsidR="007C3100">
        <w:tab/>
      </w:r>
      <w:r>
        <w:t>/Information</w:t>
      </w:r>
      <w:bookmarkEnd w:id="29"/>
      <w:r w:rsidR="00AF3BF2">
        <w:t xml:space="preserve"> </w:t>
      </w:r>
      <w:bookmarkEnd w:id="27"/>
    </w:p>
    <w:p w14:paraId="23FEB1A8" w14:textId="77777777" w:rsidR="004B4E4B" w:rsidRDefault="008077D4" w:rsidP="00CA5F34">
      <w:pPr>
        <w:pStyle w:val="Heading3"/>
      </w:pPr>
      <w:bookmarkStart w:id="30" w:name="_Toc275225435"/>
      <w:bookmarkStart w:id="31" w:name="_Toc375231204"/>
      <w:r w:rsidRPr="008077D4">
        <w:t>Certificate of Confidentiality</w:t>
      </w:r>
      <w:bookmarkEnd w:id="30"/>
      <w:bookmarkEnd w:id="31"/>
    </w:p>
    <w:p w14:paraId="7CF24089" w14:textId="77777777" w:rsidR="00E718B4" w:rsidRPr="00E718B4" w:rsidRDefault="00E718B4" w:rsidP="00E718B4">
      <w:pPr>
        <w:pStyle w:val="CROMSText"/>
      </w:pPr>
      <w:r>
        <w:t xml:space="preserve">Protocols that collect sensitive data may benefit from a certificate of confidentiality (see </w:t>
      </w:r>
      <w:hyperlink r:id="rId29" w:history="1">
        <w:r w:rsidRPr="00E718B4">
          <w:rPr>
            <w:rStyle w:val="Hyperlink"/>
          </w:rPr>
          <w:t>http://grants.nih.gov/grants/policy/coc/</w:t>
        </w:r>
      </w:hyperlink>
      <w:r w:rsidR="00FF072E">
        <w:t xml:space="preserve">).  According to the website, “Certificates of Confidentiality are issued by the National Institutes of Health (NIH) to protect identifiable research information from forced disclosure. They allow the investigator and others who have access to research records to refuse to disclose identifying information on research participants in any civil, criminal, administrative, legislative, or other proceeding, whether at the federal, state, or local level. Certificates of Confidentiality may be granted for studies collecting information that, if disclosed, could have adverse consequences for subjects or damage their financial standing, </w:t>
      </w:r>
      <w:r w:rsidR="00FF072E">
        <w:lastRenderedPageBreak/>
        <w:t xml:space="preserve">employability, insurability, or reputation. By protecting researchers and institutions from being compelled to disclose information that would identify research subjects, Certificates of Confidentiality help achieve the research objectives and promote participation in studies by assuring confidentiality and privacy to participants.”  </w:t>
      </w:r>
      <w:r w:rsidR="00B64F40">
        <w:t xml:space="preserve">Applications for a </w:t>
      </w:r>
      <w:r w:rsidR="009F3847">
        <w:t>C</w:t>
      </w:r>
      <w:r w:rsidR="00B64F40">
        <w:t>ertificate of Confidentiality are submitted to the NIDCR Certificate of Confidentiality</w:t>
      </w:r>
      <w:r w:rsidR="004634A1">
        <w:t xml:space="preserve"> Coordinator</w:t>
      </w:r>
      <w:r w:rsidR="00B64F40">
        <w:t>.</w:t>
      </w:r>
      <w:r w:rsidR="00FF072E">
        <w:t xml:space="preserve"> </w:t>
      </w:r>
      <w:r w:rsidR="00B64F40">
        <w:t>The IRB approved</w:t>
      </w:r>
      <w:r w:rsidR="009F3847">
        <w:t xml:space="preserve"> </w:t>
      </w:r>
      <w:r w:rsidR="00546772">
        <w:t>CD</w:t>
      </w:r>
      <w:r w:rsidR="00B64F40">
        <w:t xml:space="preserve"> must include a description of the protections and limitations of the Certificate of Confidentiality, including the circumstances in which the investigators plan to disclose voluntarily identifying information about research participants. Certificates from NIDCR generally take several weeks to be issued.</w:t>
      </w:r>
    </w:p>
    <w:p w14:paraId="74A2C50C" w14:textId="77777777" w:rsidR="004B4E4B" w:rsidRDefault="006D728D" w:rsidP="00CA5F34">
      <w:pPr>
        <w:pStyle w:val="Heading3"/>
      </w:pPr>
      <w:bookmarkStart w:id="32" w:name="_Toc275225436"/>
      <w:bookmarkStart w:id="33" w:name="_Toc375231205"/>
      <w:r>
        <w:t>Investigational New Drug Application</w:t>
      </w:r>
      <w:r w:rsidR="003F2640">
        <w:t xml:space="preserve"> (IND) or Investigational Device Exemption (IDE)</w:t>
      </w:r>
      <w:bookmarkEnd w:id="32"/>
      <w:bookmarkEnd w:id="33"/>
    </w:p>
    <w:p w14:paraId="236E522D" w14:textId="77777777" w:rsidR="0093298A" w:rsidRDefault="00B64F40" w:rsidP="0093298A">
      <w:pPr>
        <w:pStyle w:val="CROMSText"/>
      </w:pPr>
      <w:r>
        <w:t xml:space="preserve">If an IND or IDE is anticipated, early communication with the NIDCR </w:t>
      </w:r>
      <w:r w:rsidR="004669AC">
        <w:t>P</w:t>
      </w:r>
      <w:r>
        <w:t xml:space="preserve">rogram </w:t>
      </w:r>
      <w:r w:rsidR="004669AC">
        <w:t>O</w:t>
      </w:r>
      <w:r>
        <w:t xml:space="preserve">fficial, </w:t>
      </w:r>
      <w:r w:rsidR="007B4BC5">
        <w:t>M</w:t>
      </w:r>
      <w:r>
        <w:t xml:space="preserve">edical </w:t>
      </w:r>
      <w:r w:rsidR="007B4BC5">
        <w:t>Monitor</w:t>
      </w:r>
      <w:r w:rsidR="00F03C8A">
        <w:t>,</w:t>
      </w:r>
      <w:r>
        <w:t xml:space="preserve"> and OCTOM is highly recommended.</w:t>
      </w:r>
      <w:r w:rsidR="001F22CA">
        <w:t xml:space="preserve">  </w:t>
      </w:r>
      <w:r w:rsidR="005503C7">
        <w:t xml:space="preserve">The </w:t>
      </w:r>
      <w:r w:rsidR="005503C7" w:rsidRPr="0093298A">
        <w:rPr>
          <w:b/>
        </w:rPr>
        <w:t>IND Applicability Checklist</w:t>
      </w:r>
      <w:r w:rsidR="005503C7">
        <w:t xml:space="preserve"> can be used to determine if an IND is needed</w:t>
      </w:r>
      <w:r w:rsidR="006C3626">
        <w:t xml:space="preserve"> (see the Regulatory folder of Clinical Tool Box</w:t>
      </w:r>
      <w:r w:rsidR="0053184A">
        <w:t xml:space="preserve"> and </w:t>
      </w:r>
      <w:r w:rsidR="004944BF">
        <w:t xml:space="preserve">the </w:t>
      </w:r>
      <w:r w:rsidR="0053184A">
        <w:t>NIDCR Toolkit</w:t>
      </w:r>
      <w:r w:rsidR="006C3626">
        <w:t>)</w:t>
      </w:r>
      <w:r w:rsidR="005503C7">
        <w:t xml:space="preserve">.  </w:t>
      </w:r>
    </w:p>
    <w:p w14:paraId="5A5342B7" w14:textId="77777777" w:rsidR="001F22CA" w:rsidRDefault="00AB0D7F" w:rsidP="0093298A">
      <w:pPr>
        <w:pStyle w:val="CROMSText"/>
      </w:pPr>
      <w:r>
        <w:t>For guidance on the IND application process, see</w:t>
      </w:r>
      <w:r w:rsidR="001F22CA">
        <w:t xml:space="preserve">:  </w:t>
      </w:r>
      <w:hyperlink r:id="rId30" w:history="1">
        <w:r w:rsidR="001F22CA" w:rsidRPr="0093298A">
          <w:rPr>
            <w:rStyle w:val="Hyperlink"/>
          </w:rPr>
          <w:t>http://www.fda.gov/drugs/developmentapprovalprocess/howdrugsaredevelopedandapproved/approvalapplications/investigationalnewdrugindapplication/default.htm</w:t>
        </w:r>
      </w:hyperlink>
      <w:r w:rsidR="001F22CA">
        <w:t xml:space="preserve">.  </w:t>
      </w:r>
    </w:p>
    <w:p w14:paraId="4733536D" w14:textId="77777777" w:rsidR="00327EAA" w:rsidRPr="0093298A" w:rsidRDefault="00BC592B" w:rsidP="0093298A">
      <w:pPr>
        <w:pStyle w:val="CROMSText"/>
      </w:pPr>
      <w:r>
        <w:t xml:space="preserve">Once </w:t>
      </w:r>
      <w:r w:rsidR="004F65F9">
        <w:t xml:space="preserve">an </w:t>
      </w:r>
      <w:r w:rsidR="00327EAA">
        <w:t xml:space="preserve">IND </w:t>
      </w:r>
      <w:r w:rsidR="004F65F9">
        <w:t>application has been submitted</w:t>
      </w:r>
      <w:r w:rsidR="00327EAA">
        <w:t xml:space="preserve">, you must plan for a </w:t>
      </w:r>
      <w:r w:rsidR="00327EAA" w:rsidRPr="004F65F9">
        <w:rPr>
          <w:u w:val="single"/>
        </w:rPr>
        <w:t>minimum</w:t>
      </w:r>
      <w:r w:rsidR="00327EAA">
        <w:t xml:space="preserve"> of 30 days before beginning the study. Often the FDA will require </w:t>
      </w:r>
      <w:r w:rsidR="00D17338">
        <w:t>additional</w:t>
      </w:r>
      <w:r w:rsidR="00327EAA">
        <w:t xml:space="preserve"> information</w:t>
      </w:r>
      <w:r w:rsidR="00D17338">
        <w:t xml:space="preserve"> after the initial review</w:t>
      </w:r>
      <w:r w:rsidR="001F22CA">
        <w:t xml:space="preserve">, </w:t>
      </w:r>
      <w:r w:rsidR="00D17338">
        <w:t xml:space="preserve">which can further </w:t>
      </w:r>
      <w:r w:rsidR="004F65F9">
        <w:t>impact</w:t>
      </w:r>
      <w:r w:rsidR="00D17338">
        <w:t xml:space="preserve"> study start-up</w:t>
      </w:r>
      <w:r w:rsidR="004F65F9">
        <w:t xml:space="preserve"> timelines</w:t>
      </w:r>
      <w:r w:rsidR="001F22CA">
        <w:t>.</w:t>
      </w:r>
    </w:p>
    <w:p w14:paraId="17145A7C" w14:textId="77777777" w:rsidR="004B4E4B" w:rsidRDefault="008077D4" w:rsidP="00CA5F34">
      <w:pPr>
        <w:pStyle w:val="Heading3"/>
      </w:pPr>
      <w:bookmarkStart w:id="34" w:name="_Toc275225437"/>
      <w:bookmarkStart w:id="35" w:name="_Toc375231206"/>
      <w:r w:rsidRPr="008077D4">
        <w:t>ClinicalTrials.gov</w:t>
      </w:r>
      <w:bookmarkEnd w:id="34"/>
      <w:bookmarkEnd w:id="35"/>
    </w:p>
    <w:p w14:paraId="02E01161" w14:textId="77777777" w:rsidR="00012111" w:rsidRDefault="0036680A" w:rsidP="00012111">
      <w:pPr>
        <w:pStyle w:val="CROMSText"/>
      </w:pPr>
      <w:r>
        <w:t xml:space="preserve">The PI is responsible for registering </w:t>
      </w:r>
      <w:r w:rsidR="00B64F40">
        <w:t xml:space="preserve">applicable clinical trials </w:t>
      </w:r>
      <w:r>
        <w:t xml:space="preserve">into ClinicalTrials.gov prior to enrolling the first subject in the study.  For more information see </w:t>
      </w:r>
      <w:hyperlink r:id="rId31" w:history="1">
        <w:r w:rsidRPr="0030030E">
          <w:rPr>
            <w:rStyle w:val="Hyperlink"/>
          </w:rPr>
          <w:t>http://clinicaltrials.gov/</w:t>
        </w:r>
      </w:hyperlink>
      <w:r>
        <w:t>.</w:t>
      </w:r>
    </w:p>
    <w:p w14:paraId="690770E8" w14:textId="77777777" w:rsidR="004B4E4B" w:rsidRDefault="00F03868" w:rsidP="00CA5F34">
      <w:pPr>
        <w:pStyle w:val="Heading2"/>
      </w:pPr>
      <w:bookmarkStart w:id="36" w:name="_Toc375231207"/>
      <w:r>
        <w:t>Essential Documents</w:t>
      </w:r>
      <w:bookmarkEnd w:id="36"/>
    </w:p>
    <w:p w14:paraId="5D8356BD" w14:textId="77777777" w:rsidR="00F03868" w:rsidRDefault="00F03868" w:rsidP="00F03868">
      <w:pPr>
        <w:pStyle w:val="CROMSText"/>
        <w:rPr>
          <w:bCs/>
        </w:rPr>
      </w:pPr>
      <w:r>
        <w:rPr>
          <w:bCs/>
        </w:rPr>
        <w:t xml:space="preserve">Per Good Clinical Practice (GCP), essential documents are those documents that “individually and collectively permit evaluation of the conduct of a study and the quality of the data </w:t>
      </w:r>
      <w:r>
        <w:rPr>
          <w:bCs/>
        </w:rPr>
        <w:lastRenderedPageBreak/>
        <w:t xml:space="preserve">produced.”  Some essential documents should be filed only at the study site, others only in the sponsor (e.g., the IND holder, when applicable) files; the rest (the majority) should be maintained ultimately in both locations.  </w:t>
      </w:r>
    </w:p>
    <w:p w14:paraId="12A37511" w14:textId="77777777" w:rsidR="00F03868" w:rsidRDefault="00F03868" w:rsidP="00F03868">
      <w:pPr>
        <w:pStyle w:val="CROMSText"/>
        <w:rPr>
          <w:bCs/>
        </w:rPr>
      </w:pPr>
      <w:r w:rsidRPr="00E851D3">
        <w:rPr>
          <w:bCs/>
        </w:rPr>
        <w:t xml:space="preserve">The </w:t>
      </w:r>
      <w:r w:rsidRPr="00E851D3">
        <w:rPr>
          <w:b/>
          <w:bCs/>
        </w:rPr>
        <w:t>Essential Document</w:t>
      </w:r>
      <w:r w:rsidR="002C4652">
        <w:rPr>
          <w:b/>
          <w:bCs/>
        </w:rPr>
        <w:t xml:space="preserve"> Management Tool</w:t>
      </w:r>
      <w:r w:rsidRPr="00E851D3">
        <w:rPr>
          <w:bCs/>
        </w:rPr>
        <w:t xml:space="preserve"> clarifies the collection of these documents</w:t>
      </w:r>
      <w:r w:rsidR="006C3626">
        <w:rPr>
          <w:bCs/>
        </w:rPr>
        <w:t xml:space="preserve"> (see the Essential Documents folder of Clinical Tool Box)</w:t>
      </w:r>
      <w:r w:rsidRPr="00E851D3">
        <w:rPr>
          <w:bCs/>
        </w:rPr>
        <w:t xml:space="preserve">.  It provides </w:t>
      </w:r>
      <w:r>
        <w:rPr>
          <w:bCs/>
        </w:rPr>
        <w:t xml:space="preserve">both </w:t>
      </w:r>
      <w:r w:rsidRPr="00E851D3">
        <w:rPr>
          <w:bCs/>
        </w:rPr>
        <w:t>a recommended filing structure and references to relevant regulations and guidelines.</w:t>
      </w:r>
      <w:r>
        <w:rPr>
          <w:bCs/>
        </w:rPr>
        <w:t xml:space="preserve">  </w:t>
      </w:r>
      <w:r w:rsidR="00BC592B">
        <w:rPr>
          <w:bCs/>
        </w:rPr>
        <w:t xml:space="preserve">Certain documents </w:t>
      </w:r>
      <w:r>
        <w:rPr>
          <w:bCs/>
        </w:rPr>
        <w:t xml:space="preserve">must be in place prior to site initiation </w:t>
      </w:r>
      <w:r w:rsidR="00BC592B">
        <w:rPr>
          <w:bCs/>
        </w:rPr>
        <w:t>and are</w:t>
      </w:r>
      <w:r>
        <w:rPr>
          <w:bCs/>
        </w:rPr>
        <w:t xml:space="preserve"> identified</w:t>
      </w:r>
      <w:r w:rsidR="008C5698">
        <w:rPr>
          <w:bCs/>
        </w:rPr>
        <w:t xml:space="preserve"> </w:t>
      </w:r>
      <w:r>
        <w:rPr>
          <w:bCs/>
        </w:rPr>
        <w:t>in this tool.</w:t>
      </w:r>
    </w:p>
    <w:p w14:paraId="23CECFF0" w14:textId="77777777" w:rsidR="00F03868" w:rsidRDefault="00F03868" w:rsidP="00F03868">
      <w:pPr>
        <w:pStyle w:val="CROMSText"/>
        <w:rPr>
          <w:bCs/>
        </w:rPr>
      </w:pPr>
      <w:r>
        <w:rPr>
          <w:bCs/>
        </w:rPr>
        <w:t xml:space="preserve">Clinical sites can also use the </w:t>
      </w:r>
      <w:r w:rsidRPr="00E851D3">
        <w:rPr>
          <w:b/>
          <w:bCs/>
        </w:rPr>
        <w:t xml:space="preserve">Extramural </w:t>
      </w:r>
      <w:r w:rsidR="00714875">
        <w:rPr>
          <w:b/>
          <w:bCs/>
        </w:rPr>
        <w:t>Essential Document</w:t>
      </w:r>
      <w:r w:rsidR="00714875" w:rsidRPr="00E851D3">
        <w:rPr>
          <w:b/>
          <w:bCs/>
        </w:rPr>
        <w:t xml:space="preserve"> </w:t>
      </w:r>
      <w:r w:rsidRPr="00E851D3">
        <w:rPr>
          <w:b/>
          <w:bCs/>
        </w:rPr>
        <w:t>Binder Tabs</w:t>
      </w:r>
      <w:r>
        <w:rPr>
          <w:bCs/>
        </w:rPr>
        <w:t xml:space="preserve"> to help organize the site files and clarify the required content of those files. </w:t>
      </w:r>
      <w:r w:rsidR="008A0BB3">
        <w:rPr>
          <w:bCs/>
        </w:rPr>
        <w:t xml:space="preserve">(Synonyms for this binder include: </w:t>
      </w:r>
      <w:r w:rsidR="008A0BB3" w:rsidRPr="008A0BB3">
        <w:rPr>
          <w:bCs/>
        </w:rPr>
        <w:t>Investigator Binder, Regulatory Binder, Investigational Site File (ISF) or Study Binder</w:t>
      </w:r>
      <w:r w:rsidR="008A0BB3">
        <w:rPr>
          <w:bCs/>
        </w:rPr>
        <w:t>.)</w:t>
      </w:r>
      <w:r w:rsidR="006C3626">
        <w:rPr>
          <w:bCs/>
        </w:rPr>
        <w:t xml:space="preserve"> T</w:t>
      </w:r>
      <w:r w:rsidR="00A26F8A">
        <w:rPr>
          <w:bCs/>
        </w:rPr>
        <w:t>wo versions of t</w:t>
      </w:r>
      <w:r w:rsidR="006C3626">
        <w:rPr>
          <w:bCs/>
        </w:rPr>
        <w:t>hese binder tabs are posted within the Essential Documents tab</w:t>
      </w:r>
      <w:r w:rsidR="00144375">
        <w:rPr>
          <w:bCs/>
        </w:rPr>
        <w:t xml:space="preserve"> of Clinical Tool Box -</w:t>
      </w:r>
      <w:r w:rsidR="00A26F8A">
        <w:rPr>
          <w:bCs/>
        </w:rPr>
        <w:t xml:space="preserve"> one</w:t>
      </w:r>
      <w:r w:rsidR="006C3626">
        <w:rPr>
          <w:bCs/>
        </w:rPr>
        <w:t xml:space="preserve"> </w:t>
      </w:r>
      <w:r w:rsidR="00A26F8A">
        <w:rPr>
          <w:bCs/>
        </w:rPr>
        <w:t xml:space="preserve">set </w:t>
      </w:r>
      <w:r w:rsidR="00266092">
        <w:rPr>
          <w:bCs/>
        </w:rPr>
        <w:t xml:space="preserve">that includes </w:t>
      </w:r>
      <w:r w:rsidR="00A26F8A">
        <w:rPr>
          <w:bCs/>
        </w:rPr>
        <w:t xml:space="preserve">the </w:t>
      </w:r>
      <w:r w:rsidR="006C3626">
        <w:rPr>
          <w:bCs/>
        </w:rPr>
        <w:t>instru</w:t>
      </w:r>
      <w:r w:rsidR="00A26F8A">
        <w:rPr>
          <w:bCs/>
        </w:rPr>
        <w:t>ctions and sample documents</w:t>
      </w:r>
      <w:r w:rsidR="00266092">
        <w:rPr>
          <w:bCs/>
        </w:rPr>
        <w:t>,</w:t>
      </w:r>
      <w:r w:rsidR="00A26F8A">
        <w:rPr>
          <w:bCs/>
        </w:rPr>
        <w:t xml:space="preserve"> and one set</w:t>
      </w:r>
      <w:r w:rsidR="00266092">
        <w:rPr>
          <w:bCs/>
        </w:rPr>
        <w:t xml:space="preserve"> that does not,</w:t>
      </w:r>
      <w:r w:rsidR="00A26F8A">
        <w:rPr>
          <w:bCs/>
        </w:rPr>
        <w:t xml:space="preserve"> for ease of printing. </w:t>
      </w:r>
    </w:p>
    <w:p w14:paraId="500BFDF5" w14:textId="77777777" w:rsidR="00F03868" w:rsidRDefault="00F03868" w:rsidP="00F03868">
      <w:pPr>
        <w:pStyle w:val="CROMSText"/>
        <w:rPr>
          <w:bCs/>
        </w:rPr>
      </w:pPr>
      <w:r>
        <w:rPr>
          <w:bCs/>
        </w:rPr>
        <w:t>Many of the site essential documents have corresponding templates available on the Clinical Tool</w:t>
      </w:r>
      <w:r w:rsidR="00A26F8A">
        <w:rPr>
          <w:bCs/>
        </w:rPr>
        <w:t xml:space="preserve"> B</w:t>
      </w:r>
      <w:r>
        <w:rPr>
          <w:bCs/>
        </w:rPr>
        <w:t>ox page of the CROMS website</w:t>
      </w:r>
      <w:r w:rsidR="000E40D3">
        <w:rPr>
          <w:bCs/>
        </w:rPr>
        <w:t xml:space="preserve"> and</w:t>
      </w:r>
      <w:r w:rsidR="00D5785C">
        <w:rPr>
          <w:bCs/>
        </w:rPr>
        <w:t xml:space="preserve"> in</w:t>
      </w:r>
      <w:r w:rsidR="000E40D3">
        <w:rPr>
          <w:bCs/>
        </w:rPr>
        <w:t xml:space="preserve"> the NIDCR Toolkit</w:t>
      </w:r>
      <w:r w:rsidR="00DF6D5D">
        <w:rPr>
          <w:bCs/>
        </w:rPr>
        <w:t>. These</w:t>
      </w:r>
      <w:r>
        <w:rPr>
          <w:bCs/>
        </w:rPr>
        <w:t xml:space="preserve"> includ</w:t>
      </w:r>
      <w:r w:rsidR="00DF6D5D">
        <w:rPr>
          <w:bCs/>
        </w:rPr>
        <w:t>e</w:t>
      </w:r>
      <w:r>
        <w:rPr>
          <w:bCs/>
        </w:rPr>
        <w:t xml:space="preserve">, but </w:t>
      </w:r>
      <w:r w:rsidR="00DF6D5D">
        <w:rPr>
          <w:bCs/>
        </w:rPr>
        <w:t xml:space="preserve">are </w:t>
      </w:r>
      <w:r>
        <w:rPr>
          <w:bCs/>
        </w:rPr>
        <w:t xml:space="preserve">not limited to: </w:t>
      </w:r>
      <w:r w:rsidR="005B0167" w:rsidRPr="005B0167">
        <w:rPr>
          <w:b/>
          <w:bCs/>
        </w:rPr>
        <w:t>Site Screening and Enrollment Log</w:t>
      </w:r>
      <w:r>
        <w:rPr>
          <w:bCs/>
        </w:rPr>
        <w:t xml:space="preserve">, </w:t>
      </w:r>
      <w:r w:rsidR="005B0167" w:rsidRPr="005B0167">
        <w:rPr>
          <w:b/>
          <w:bCs/>
        </w:rPr>
        <w:t>Training Log</w:t>
      </w:r>
      <w:r>
        <w:rPr>
          <w:bCs/>
        </w:rPr>
        <w:t xml:space="preserve">, </w:t>
      </w:r>
      <w:r w:rsidR="005B0167" w:rsidRPr="005B0167">
        <w:rPr>
          <w:b/>
          <w:bCs/>
        </w:rPr>
        <w:t>Delegation of Responsibilities Log</w:t>
      </w:r>
      <w:r w:rsidR="00DF6D5D" w:rsidRPr="00DF6D5D">
        <w:rPr>
          <w:bCs/>
        </w:rPr>
        <w:t xml:space="preserve">, and </w:t>
      </w:r>
      <w:r w:rsidR="00DF6D5D">
        <w:rPr>
          <w:bCs/>
        </w:rPr>
        <w:t xml:space="preserve">a link to the </w:t>
      </w:r>
      <w:r w:rsidR="00DF6D5D" w:rsidRPr="0081017A">
        <w:rPr>
          <w:b/>
          <w:bCs/>
        </w:rPr>
        <w:t>FDA 1572</w:t>
      </w:r>
      <w:r w:rsidRPr="00DF6D5D">
        <w:rPr>
          <w:bCs/>
        </w:rPr>
        <w:t>.</w:t>
      </w:r>
      <w:r>
        <w:rPr>
          <w:bCs/>
        </w:rPr>
        <w:t xml:space="preserve">  Please peruse the</w:t>
      </w:r>
      <w:r w:rsidR="00DF6D5D">
        <w:rPr>
          <w:bCs/>
        </w:rPr>
        <w:t xml:space="preserve">se websites </w:t>
      </w:r>
      <w:r>
        <w:rPr>
          <w:bCs/>
        </w:rPr>
        <w:t>for the full list of available templates.</w:t>
      </w:r>
    </w:p>
    <w:p w14:paraId="771A7CB0" w14:textId="77777777" w:rsidR="00810DFF" w:rsidRPr="00B00A59" w:rsidRDefault="00F03868" w:rsidP="00810DFF">
      <w:pPr>
        <w:pStyle w:val="CROMSText"/>
        <w:rPr>
          <w:bCs/>
        </w:rPr>
      </w:pPr>
      <w:r>
        <w:rPr>
          <w:bCs/>
        </w:rPr>
        <w:t xml:space="preserve">The site essential documents will either be reviewed prior to the site initiation visit, if CROMS is responsible for maintaining the Trial Master File, or they will be reviewed by CROMS and/or OCTOM during the site initiation visit.  Files must be deemed complete by the DCC or </w:t>
      </w:r>
      <w:r w:rsidR="00B00A59">
        <w:rPr>
          <w:bCs/>
        </w:rPr>
        <w:t>CROMS prior to site activation.</w:t>
      </w:r>
    </w:p>
    <w:p w14:paraId="4E2E603A" w14:textId="77777777" w:rsidR="00C2381C" w:rsidRDefault="004A678F" w:rsidP="00CA5F34">
      <w:pPr>
        <w:pStyle w:val="Heading1"/>
      </w:pPr>
      <w:bookmarkStart w:id="37" w:name="_Toc375231208"/>
      <w:r>
        <w:t>SUBJECT SAFETY OVERSIGHT</w:t>
      </w:r>
      <w:bookmarkEnd w:id="37"/>
    </w:p>
    <w:p w14:paraId="642E6750" w14:textId="77777777" w:rsidR="004B4E4B" w:rsidRDefault="00C2381C" w:rsidP="00CA5F34">
      <w:pPr>
        <w:pStyle w:val="Heading2"/>
      </w:pPr>
      <w:bookmarkStart w:id="38" w:name="_Toc375231209"/>
      <w:r>
        <w:t>Safety Monitoring Plan (SMP)</w:t>
      </w:r>
      <w:bookmarkEnd w:id="38"/>
    </w:p>
    <w:p w14:paraId="633E4486" w14:textId="77777777" w:rsidR="00810DFF" w:rsidRDefault="00810DFF" w:rsidP="00810DFF">
      <w:pPr>
        <w:pStyle w:val="CROMSText"/>
      </w:pPr>
      <w:r w:rsidRPr="00976076">
        <w:t xml:space="preserve">Clinical research studies must be monitored for safety and potential risk to the subject. </w:t>
      </w:r>
      <w:r>
        <w:t xml:space="preserve">Monitoring of participant/subject safety may be described in the protocol. A safety monitoring </w:t>
      </w:r>
      <w:r>
        <w:lastRenderedPageBreak/>
        <w:t>plan will be prepared by the PI’s designee or by</w:t>
      </w:r>
      <w:r w:rsidR="00D87479">
        <w:t xml:space="preserve"> CROMS, when appropriate. </w:t>
      </w:r>
      <w:r>
        <w:t xml:space="preserve">This plan must be reviewed and approved by the NIDCR </w:t>
      </w:r>
      <w:r w:rsidR="007B4BC5">
        <w:t>M</w:t>
      </w:r>
      <w:r>
        <w:t xml:space="preserve">edical </w:t>
      </w:r>
      <w:r w:rsidR="007B4BC5">
        <w:t>M</w:t>
      </w:r>
      <w:r>
        <w:t>onitor prior to site activation.</w:t>
      </w:r>
    </w:p>
    <w:p w14:paraId="66D7A810" w14:textId="77777777" w:rsidR="00810DFF" w:rsidRDefault="00810DFF" w:rsidP="00810DFF">
      <w:pPr>
        <w:pStyle w:val="CROMSText"/>
      </w:pPr>
      <w:r>
        <w:t xml:space="preserve">See Section </w:t>
      </w:r>
      <w:r w:rsidR="00BA2600">
        <w:fldChar w:fldCharType="begin"/>
      </w:r>
      <w:r>
        <w:instrText xml:space="preserve"> REF _Ref280163858 \r \h </w:instrText>
      </w:r>
      <w:r w:rsidR="00BA2600">
        <w:fldChar w:fldCharType="separate"/>
      </w:r>
      <w:r w:rsidR="00791B9C">
        <w:t>3.2.2</w:t>
      </w:r>
      <w:r w:rsidR="00BA2600">
        <w:fldChar w:fldCharType="end"/>
      </w:r>
      <w:r>
        <w:t xml:space="preserve"> for further details of the Safety Oversight process.</w:t>
      </w:r>
    </w:p>
    <w:p w14:paraId="7A57506A" w14:textId="77777777" w:rsidR="004B4E4B" w:rsidRDefault="00C2381C">
      <w:pPr>
        <w:pStyle w:val="CROMSText"/>
      </w:pPr>
      <w:r>
        <w:t xml:space="preserve">In addition to </w:t>
      </w:r>
      <w:r w:rsidR="003C5E29">
        <w:t>Adverse Event (</w:t>
      </w:r>
      <w:r>
        <w:t>AE</w:t>
      </w:r>
      <w:r w:rsidR="003C5E29">
        <w:t>)</w:t>
      </w:r>
      <w:r>
        <w:t>/</w:t>
      </w:r>
      <w:r w:rsidR="003C5E29">
        <w:t>Se</w:t>
      </w:r>
      <w:r w:rsidR="008D4F9A">
        <w:t>rious</w:t>
      </w:r>
      <w:r w:rsidR="003C5E29">
        <w:t xml:space="preserve"> Adverse Event (</w:t>
      </w:r>
      <w:r>
        <w:t>SAE</w:t>
      </w:r>
      <w:r w:rsidR="003C5E29">
        <w:t>)</w:t>
      </w:r>
      <w:r>
        <w:t xml:space="preserve"> monitoring, the protocol and SMP should detail the process for monitoring and reporting Unanticipated Problems.</w:t>
      </w:r>
    </w:p>
    <w:p w14:paraId="02B4F436" w14:textId="77777777" w:rsidR="004B4E4B" w:rsidRDefault="004A678F" w:rsidP="00CA5F34">
      <w:pPr>
        <w:pStyle w:val="Heading1"/>
      </w:pPr>
      <w:bookmarkStart w:id="39" w:name="_Toc375231210"/>
      <w:r>
        <w:t>DATA AND QUALITY MANAGEMENT</w:t>
      </w:r>
      <w:bookmarkEnd w:id="39"/>
    </w:p>
    <w:p w14:paraId="73097F46" w14:textId="77777777" w:rsidR="004B4E4B" w:rsidRDefault="00810DFF" w:rsidP="00CA5F34">
      <w:pPr>
        <w:pStyle w:val="Heading2"/>
      </w:pPr>
      <w:bookmarkStart w:id="40" w:name="_Toc375231211"/>
      <w:r>
        <w:t>Data Collection Tools</w:t>
      </w:r>
      <w:bookmarkEnd w:id="40"/>
    </w:p>
    <w:p w14:paraId="4E64A175" w14:textId="77777777" w:rsidR="0034021B" w:rsidRDefault="00646465" w:rsidP="00050EEF">
      <w:pPr>
        <w:pStyle w:val="CROMSText"/>
      </w:pPr>
      <w:r>
        <w:t xml:space="preserve">Study data </w:t>
      </w:r>
      <w:r w:rsidR="00B65538">
        <w:t>must</w:t>
      </w:r>
      <w:r>
        <w:t xml:space="preserve"> be initially captured using one or more of the following methods:  on paper source documents, in electronic medical records</w:t>
      </w:r>
      <w:r w:rsidR="0034021B">
        <w:t xml:space="preserve"> or other electronic databases (e.g., central laboratory database), and/or in Electronic Data Capture (EDC) systems.  Please note that GCP requires that the protocol </w:t>
      </w:r>
      <w:r w:rsidR="007C75C8">
        <w:t xml:space="preserve">describes </w:t>
      </w:r>
      <w:r w:rsidR="0034021B">
        <w:t xml:space="preserve">instances when the EDC acts as the </w:t>
      </w:r>
      <w:r w:rsidR="00503AE3">
        <w:t>source document</w:t>
      </w:r>
      <w:r w:rsidR="00E94515">
        <w:t>.</w:t>
      </w:r>
      <w:r w:rsidR="0034021B">
        <w:t xml:space="preserve">  </w:t>
      </w:r>
    </w:p>
    <w:p w14:paraId="0592EE2F" w14:textId="77777777" w:rsidR="003B7B6D" w:rsidRDefault="003B7B6D" w:rsidP="00050EEF">
      <w:pPr>
        <w:pStyle w:val="CROMSText"/>
      </w:pPr>
      <w:r>
        <w:t xml:space="preserve">If paper </w:t>
      </w:r>
      <w:r w:rsidR="00503AE3">
        <w:t>CRFs</w:t>
      </w:r>
      <w:r>
        <w:t xml:space="preserve"> are used, the D</w:t>
      </w:r>
      <w:r w:rsidR="00040F16">
        <w:t>C</w:t>
      </w:r>
      <w:r>
        <w:t>C may provide support for initial data capture by providing source document templates</w:t>
      </w:r>
      <w:r w:rsidR="00BD6223">
        <w:t xml:space="preserve">.  These are tools </w:t>
      </w:r>
      <w:r>
        <w:t>the site can use to create an initial data record that is able to be easily matched to the data collection instrument.  Often these templates are created from the CRF.  IMPORTANT NOTE:  templates of this nature should only be used as the initial data record</w:t>
      </w:r>
      <w:r w:rsidR="00BD6223">
        <w:t xml:space="preserve">.  If the data are captured elsewhere, they </w:t>
      </w:r>
      <w:r w:rsidR="00B65538">
        <w:t>MUST</w:t>
      </w:r>
      <w:r w:rsidR="00BD6223">
        <w:t xml:space="preserve"> NOT be transcribed onto source document templates.  Each transcription increases the likelihood of a data error.</w:t>
      </w:r>
    </w:p>
    <w:p w14:paraId="70C82B08" w14:textId="77777777" w:rsidR="00050EEF" w:rsidRDefault="00050EEF" w:rsidP="00050EEF">
      <w:pPr>
        <w:pStyle w:val="CROMSText"/>
      </w:pPr>
      <w:r>
        <w:t>The Case Report Form will be designed to collect study related data</w:t>
      </w:r>
      <w:r w:rsidR="0034021B">
        <w:t xml:space="preserve"> in a manner that is practical and able to be easily rendered into an electronic database</w:t>
      </w:r>
      <w:r>
        <w:t>.  Forms will be developed using Good Data Management Practices (GDMP)</w:t>
      </w:r>
      <w:r w:rsidR="00541DF7">
        <w:t>, as established by the Society for Clinical Data Management</w:t>
      </w:r>
      <w:r w:rsidR="00497E7D">
        <w:t xml:space="preserve">, or </w:t>
      </w:r>
      <w:r w:rsidR="00855259">
        <w:t xml:space="preserve">using </w:t>
      </w:r>
      <w:r w:rsidR="00497E7D">
        <w:t>other best data management practices</w:t>
      </w:r>
      <w:r>
        <w:t xml:space="preserve">.  </w:t>
      </w:r>
      <w:r w:rsidR="00646465">
        <w:t>The method for committing data to an electronic database should be determined during the start-up phase.</w:t>
      </w:r>
      <w:r w:rsidR="0034021B">
        <w:t xml:space="preserve">  Some studies may choose to use paper CRFs and to have a </w:t>
      </w:r>
      <w:r w:rsidR="00040F16">
        <w:t xml:space="preserve">DCC </w:t>
      </w:r>
      <w:r w:rsidR="0034021B">
        <w:t xml:space="preserve">enter the data into the database.  </w:t>
      </w:r>
      <w:r w:rsidR="00503AE3">
        <w:t>Many</w:t>
      </w:r>
      <w:r w:rsidR="00E94515">
        <w:t xml:space="preserve"> </w:t>
      </w:r>
      <w:r w:rsidR="003B7B6D">
        <w:t>EDC</w:t>
      </w:r>
      <w:r w:rsidR="00E94515">
        <w:t>s</w:t>
      </w:r>
      <w:r w:rsidR="003B7B6D">
        <w:t xml:space="preserve"> permit immediate feedback of potential data errors, so they can be resolved in real time.</w:t>
      </w:r>
    </w:p>
    <w:p w14:paraId="4A27C752" w14:textId="77777777" w:rsidR="00DE5DCD" w:rsidRDefault="00BD6223" w:rsidP="00050EEF">
      <w:pPr>
        <w:pStyle w:val="CROMSText"/>
      </w:pPr>
      <w:r>
        <w:t xml:space="preserve">Sites that wish to create their own clinical database, </w:t>
      </w:r>
      <w:r w:rsidR="007C75C8">
        <w:t xml:space="preserve">or </w:t>
      </w:r>
      <w:r>
        <w:t>us</w:t>
      </w:r>
      <w:r w:rsidR="007C75C8">
        <w:t xml:space="preserve">e support from a </w:t>
      </w:r>
      <w:r w:rsidR="00040F16">
        <w:t>DCC</w:t>
      </w:r>
      <w:r>
        <w:t xml:space="preserve">, should use the </w:t>
      </w:r>
      <w:r w:rsidRPr="0073318B">
        <w:rPr>
          <w:b/>
        </w:rPr>
        <w:t xml:space="preserve">Data Management </w:t>
      </w:r>
      <w:r w:rsidR="00353BBA" w:rsidRPr="0073318B">
        <w:rPr>
          <w:b/>
        </w:rPr>
        <w:t>C</w:t>
      </w:r>
      <w:r w:rsidR="00353BBA">
        <w:rPr>
          <w:b/>
        </w:rPr>
        <w:t xml:space="preserve">onsiderations </w:t>
      </w:r>
      <w:r w:rsidR="005B0167" w:rsidRPr="005B0167">
        <w:t>document</w:t>
      </w:r>
      <w:r w:rsidR="00353BBA" w:rsidRPr="007D0D44">
        <w:t xml:space="preserve"> </w:t>
      </w:r>
      <w:r>
        <w:t>to confirm that they</w:t>
      </w:r>
      <w:r w:rsidR="00F745E8">
        <w:t xml:space="preserve"> or the </w:t>
      </w:r>
      <w:r w:rsidR="00040F16">
        <w:t xml:space="preserve">DCC </w:t>
      </w:r>
      <w:r>
        <w:t xml:space="preserve">have sufficient experience, </w:t>
      </w:r>
      <w:r w:rsidR="0073318B">
        <w:t xml:space="preserve">adequate expertise, and </w:t>
      </w:r>
      <w:r w:rsidR="00BC6006">
        <w:t xml:space="preserve">appropriately </w:t>
      </w:r>
      <w:r w:rsidR="0073318B">
        <w:t>validated software</w:t>
      </w:r>
      <w:r w:rsidR="005A5809">
        <w:t xml:space="preserve"> (see the Data </w:t>
      </w:r>
      <w:r w:rsidR="005A5809">
        <w:lastRenderedPageBreak/>
        <w:t xml:space="preserve">Management </w:t>
      </w:r>
      <w:r w:rsidR="006C69D6">
        <w:t xml:space="preserve">section </w:t>
      </w:r>
      <w:r w:rsidR="005A5809">
        <w:t>of Clinical Tool Box</w:t>
      </w:r>
      <w:r w:rsidR="006C69D6">
        <w:t xml:space="preserve"> and the NIDCR Toolkit</w:t>
      </w:r>
      <w:r w:rsidR="005A5809">
        <w:t>)</w:t>
      </w:r>
      <w:r w:rsidR="0073318B">
        <w:t>.</w:t>
      </w:r>
      <w:r w:rsidR="00E1173B">
        <w:t xml:space="preserve">  </w:t>
      </w:r>
      <w:r w:rsidR="00F745E8">
        <w:t>OCTOM can assist sites in determining experience, expertise</w:t>
      </w:r>
      <w:r w:rsidR="00D87479">
        <w:t>,</w:t>
      </w:r>
      <w:r w:rsidR="00F745E8">
        <w:t xml:space="preserve"> and appropriate software for the study.</w:t>
      </w:r>
      <w:r w:rsidR="00E94515">
        <w:t xml:space="preserve"> </w:t>
      </w:r>
      <w:r w:rsidR="00DE6A85">
        <w:t xml:space="preserve">The </w:t>
      </w:r>
      <w:r w:rsidR="00DE5DCD">
        <w:t>CRF and data collection system should be in place prior to site initiation</w:t>
      </w:r>
      <w:r w:rsidR="005E572E">
        <w:t xml:space="preserve"> </w:t>
      </w:r>
      <w:r w:rsidR="00DE5DCD">
        <w:t>but must be in place prior to site activation.</w:t>
      </w:r>
    </w:p>
    <w:p w14:paraId="7316608A" w14:textId="77777777" w:rsidR="00C2381C" w:rsidRPr="006E4872" w:rsidRDefault="00370DE6" w:rsidP="00CA5F34">
      <w:pPr>
        <w:pStyle w:val="Heading2"/>
      </w:pPr>
      <w:bookmarkStart w:id="41" w:name="_Toc375231212"/>
      <w:r>
        <w:t xml:space="preserve">Clinical </w:t>
      </w:r>
      <w:r w:rsidR="00C2381C" w:rsidRPr="006E4872">
        <w:t>Data Management Plan</w:t>
      </w:r>
      <w:bookmarkEnd w:id="41"/>
    </w:p>
    <w:p w14:paraId="3C828079" w14:textId="77777777" w:rsidR="00CE291D" w:rsidRPr="00050EEF" w:rsidRDefault="00CE291D" w:rsidP="00050EEF">
      <w:pPr>
        <w:pStyle w:val="CROMSText"/>
      </w:pPr>
      <w:r>
        <w:t xml:space="preserve">A </w:t>
      </w:r>
      <w:r w:rsidR="00370DE6">
        <w:t xml:space="preserve">Clinical </w:t>
      </w:r>
      <w:r>
        <w:t>Data Management Plan</w:t>
      </w:r>
      <w:r w:rsidR="00A1433C">
        <w:t xml:space="preserve"> (</w:t>
      </w:r>
      <w:r w:rsidR="00370DE6">
        <w:t>C</w:t>
      </w:r>
      <w:r w:rsidR="00A1433C">
        <w:t>DMP)</w:t>
      </w:r>
      <w:r>
        <w:t xml:space="preserve"> is </w:t>
      </w:r>
      <w:r w:rsidR="0019693D">
        <w:t xml:space="preserve">the </w:t>
      </w:r>
      <w:r>
        <w:t xml:space="preserve">document that summarizes </w:t>
      </w:r>
      <w:r w:rsidR="00A1433C">
        <w:t xml:space="preserve">the study’s approach to handling the data.  A </w:t>
      </w:r>
      <w:r w:rsidR="00370DE6">
        <w:t>C</w:t>
      </w:r>
      <w:r w:rsidR="00A1433C">
        <w:t xml:space="preserve">DMP </w:t>
      </w:r>
      <w:r w:rsidR="00D87479">
        <w:t>includes, but is not limited to:</w:t>
      </w:r>
      <w:r w:rsidR="00A1433C">
        <w:t xml:space="preserve"> a) a description of the system being used to handle the clinical data; b) a description of the validation plan (i.e., methods for confirming that data are correct, such as range checks, valid value checks, and data cross-checks); c) a description of how external data will be reviewed and integrated with the clinical database; and d) documentation of the resultant clinical database that will be available for analysis.  </w:t>
      </w:r>
      <w:r w:rsidR="004634A1">
        <w:t xml:space="preserve">All studies are required to prepare a </w:t>
      </w:r>
      <w:r w:rsidR="00370DE6">
        <w:t>C</w:t>
      </w:r>
      <w:r w:rsidR="004634A1">
        <w:t>DMP.</w:t>
      </w:r>
      <w:r w:rsidR="005A5809">
        <w:t xml:space="preserve"> See the Data Management </w:t>
      </w:r>
      <w:r w:rsidR="00387BF5">
        <w:t xml:space="preserve">section </w:t>
      </w:r>
      <w:r w:rsidR="005A5809">
        <w:t>of Clinical Tool Box</w:t>
      </w:r>
      <w:r w:rsidR="006C69D6">
        <w:t xml:space="preserve"> and </w:t>
      </w:r>
      <w:r w:rsidR="004944BF">
        <w:t xml:space="preserve">the </w:t>
      </w:r>
      <w:r w:rsidR="006C69D6">
        <w:t>NIDCR Toolkit</w:t>
      </w:r>
      <w:r w:rsidR="005A5809">
        <w:t xml:space="preserve"> for a </w:t>
      </w:r>
      <w:r w:rsidR="005B0167" w:rsidRPr="005B0167">
        <w:rPr>
          <w:b/>
        </w:rPr>
        <w:t>Clinical Data Management Plan Template</w:t>
      </w:r>
      <w:r w:rsidR="005A5809">
        <w:t>.</w:t>
      </w:r>
    </w:p>
    <w:p w14:paraId="758782FC" w14:textId="77777777" w:rsidR="004B4E4B" w:rsidRDefault="00810DFF" w:rsidP="00CA5F34">
      <w:pPr>
        <w:pStyle w:val="Heading2"/>
      </w:pPr>
      <w:bookmarkStart w:id="42" w:name="_Toc375231213"/>
      <w:bookmarkStart w:id="43" w:name="_Toc275225443"/>
      <w:r>
        <w:t>Statistical Analysis Planning</w:t>
      </w:r>
      <w:bookmarkEnd w:id="42"/>
      <w:r>
        <w:t xml:space="preserve"> </w:t>
      </w:r>
      <w:bookmarkEnd w:id="43"/>
    </w:p>
    <w:p w14:paraId="6AB9065D" w14:textId="77777777" w:rsidR="00CC6AD8" w:rsidRDefault="00CC6AD8" w:rsidP="00CC6AD8">
      <w:pPr>
        <w:pStyle w:val="CROMSText"/>
      </w:pPr>
      <w:r>
        <w:t>The protocol will contain sufficient statistical detail to describe the statistical analyses and the basis for any sample size and power calculations.  A statistica</w:t>
      </w:r>
      <w:r w:rsidR="00EA6F39">
        <w:t xml:space="preserve">l analysis plan (SAP) </w:t>
      </w:r>
      <w:r w:rsidR="000F4A4E">
        <w:t xml:space="preserve">may </w:t>
      </w:r>
      <w:r w:rsidR="00EA6F39">
        <w:t>ultimately</w:t>
      </w:r>
      <w:r w:rsidR="000F4A4E">
        <w:t xml:space="preserve"> be prepared to elaborate on those</w:t>
      </w:r>
      <w:r w:rsidR="00EA6F39">
        <w:t xml:space="preserve"> protocol specifications.  The SAP is not required prior to study start</w:t>
      </w:r>
      <w:r w:rsidR="002D3992">
        <w:t>-</w:t>
      </w:r>
      <w:r w:rsidR="00EA6F39">
        <w:t>up, but should be completed well in advance of database lock.</w:t>
      </w:r>
    </w:p>
    <w:p w14:paraId="573611B3" w14:textId="77777777" w:rsidR="00F745E8" w:rsidRDefault="000F4A4E" w:rsidP="00CC6AD8">
      <w:pPr>
        <w:pStyle w:val="CROMSText"/>
      </w:pPr>
      <w:r>
        <w:t xml:space="preserve">Statistical review of the </w:t>
      </w:r>
      <w:r w:rsidR="00492113">
        <w:t>CRF</w:t>
      </w:r>
      <w:r>
        <w:t xml:space="preserve"> is another form of statistical planning.  Review of the CRF by the study statistician ensures </w:t>
      </w:r>
      <w:r w:rsidR="00646465">
        <w:t>collection of the</w:t>
      </w:r>
      <w:r>
        <w:t xml:space="preserve"> data </w:t>
      </w:r>
      <w:r w:rsidR="00646465">
        <w:t xml:space="preserve">that are </w:t>
      </w:r>
      <w:r>
        <w:t xml:space="preserve">necessary </w:t>
      </w:r>
      <w:r w:rsidR="00646465">
        <w:t>to support the protocol specified analyses.</w:t>
      </w:r>
      <w:r w:rsidR="00DE6A85">
        <w:t xml:space="preserve">  </w:t>
      </w:r>
      <w:r w:rsidR="00F745E8">
        <w:t xml:space="preserve">A statistical review of the protocol and </w:t>
      </w:r>
      <w:r w:rsidR="00DE6A85">
        <w:t>CRF</w:t>
      </w:r>
      <w:r w:rsidR="00F745E8">
        <w:t xml:space="preserve"> is necessary to</w:t>
      </w:r>
      <w:r w:rsidR="005E572E">
        <w:t xml:space="preserve"> </w:t>
      </w:r>
      <w:r w:rsidR="00F745E8">
        <w:t xml:space="preserve">ensure the study is appropriately designed and powered to meet its objectives. </w:t>
      </w:r>
    </w:p>
    <w:p w14:paraId="5051D9CA" w14:textId="77777777" w:rsidR="004B4E4B" w:rsidRDefault="00810DFF" w:rsidP="00CA5F34">
      <w:pPr>
        <w:pStyle w:val="Heading2"/>
      </w:pPr>
      <w:bookmarkStart w:id="44" w:name="_Toc375231214"/>
      <w:r>
        <w:t>Quality Management Plan (QMP)</w:t>
      </w:r>
      <w:bookmarkEnd w:id="44"/>
    </w:p>
    <w:p w14:paraId="6F1D0B72" w14:textId="77777777" w:rsidR="00810DFF" w:rsidRDefault="00810DFF" w:rsidP="00810DFF">
      <w:pPr>
        <w:pStyle w:val="CROMSText"/>
      </w:pPr>
      <w:r>
        <w:t xml:space="preserve">Quality management is a process of checking clinical research records for completion, accuracy and logic. It is performed by clinical research site staff to identify and resolve problems found in </w:t>
      </w:r>
      <w:r>
        <w:lastRenderedPageBreak/>
        <w:t xml:space="preserve">the conduct of their clinical research. This review and documentation of their findings and their plans to resolve and prevent problems is called a corrective and preventive action plan. </w:t>
      </w:r>
    </w:p>
    <w:p w14:paraId="484D184A" w14:textId="77777777" w:rsidR="00810DFF" w:rsidRDefault="00810DFF" w:rsidP="00810DFF">
      <w:pPr>
        <w:pStyle w:val="CROMSText"/>
      </w:pPr>
      <w:r>
        <w:t xml:space="preserve">The quality management plan describes the process designed to </w:t>
      </w:r>
      <w:r w:rsidRPr="00EA271E">
        <w:rPr>
          <w:rFonts w:cs="Arial"/>
        </w:rPr>
        <w:t>ensure compliance with human subject safety, quality and integrity of the data, and compliance with the protocol.</w:t>
      </w:r>
      <w:r w:rsidRPr="00F745E8">
        <w:t xml:space="preserve"> </w:t>
      </w:r>
      <w:r>
        <w:t>The NIDCR requests that a quality management plan be submitted to NIDCR for review and comment.  OCTOM and CROMS can provide the site assistance with developing a quality management plan that is appropriate for the study design.</w:t>
      </w:r>
    </w:p>
    <w:p w14:paraId="50A99CBC" w14:textId="77777777" w:rsidR="009739DD" w:rsidRDefault="009739DD" w:rsidP="00810DFF">
      <w:pPr>
        <w:pStyle w:val="CROMSText"/>
      </w:pPr>
      <w:r>
        <w:t xml:space="preserve">Quality Management tools </w:t>
      </w:r>
      <w:r w:rsidR="004111F0">
        <w:t xml:space="preserve">are </w:t>
      </w:r>
      <w:r w:rsidR="00EB6CDB">
        <w:t xml:space="preserve">available </w:t>
      </w:r>
      <w:r w:rsidR="004111F0">
        <w:t xml:space="preserve">in the Quality </w:t>
      </w:r>
      <w:r w:rsidR="00387BF5">
        <w:t xml:space="preserve">Management </w:t>
      </w:r>
      <w:r w:rsidR="004111F0">
        <w:t>section</w:t>
      </w:r>
      <w:r>
        <w:t xml:space="preserve"> </w:t>
      </w:r>
      <w:r w:rsidR="00EB6CDB">
        <w:t>of</w:t>
      </w:r>
      <w:r>
        <w:t xml:space="preserve"> Clinical Tool</w:t>
      </w:r>
      <w:r w:rsidR="001248E4">
        <w:t xml:space="preserve"> B</w:t>
      </w:r>
      <w:r>
        <w:t>ox</w:t>
      </w:r>
      <w:r w:rsidR="004111F0">
        <w:t xml:space="preserve"> and </w:t>
      </w:r>
      <w:r w:rsidR="00782AA4">
        <w:t xml:space="preserve">in </w:t>
      </w:r>
      <w:r w:rsidR="004111F0">
        <w:t>the NIDCR Toolkit</w:t>
      </w:r>
      <w:r>
        <w:t xml:space="preserve">.  Items include: </w:t>
      </w:r>
    </w:p>
    <w:tbl>
      <w:tblPr>
        <w:tblStyle w:val="TableGrid"/>
        <w:tblW w:w="0" w:type="auto"/>
        <w:tblLook w:val="04A0" w:firstRow="1" w:lastRow="0" w:firstColumn="1" w:lastColumn="0" w:noHBand="0" w:noVBand="1"/>
      </w:tblPr>
      <w:tblGrid>
        <w:gridCol w:w="4788"/>
        <w:gridCol w:w="4788"/>
      </w:tblGrid>
      <w:tr w:rsidR="009739DD" w14:paraId="2216EEC6" w14:textId="77777777" w:rsidTr="009739DD">
        <w:tc>
          <w:tcPr>
            <w:tcW w:w="4788" w:type="dxa"/>
          </w:tcPr>
          <w:p w14:paraId="15EEA793" w14:textId="77777777" w:rsidR="009739DD" w:rsidRDefault="009739DD" w:rsidP="00B27423">
            <w:pPr>
              <w:pStyle w:val="CROMSTableParameters"/>
            </w:pPr>
            <w:r>
              <w:t xml:space="preserve">An Introduction to Site-Level Quality Management within the Clinical Research Process </w:t>
            </w:r>
          </w:p>
        </w:tc>
        <w:tc>
          <w:tcPr>
            <w:tcW w:w="4788" w:type="dxa"/>
          </w:tcPr>
          <w:p w14:paraId="7F9F6C9E" w14:textId="77777777" w:rsidR="009739DD" w:rsidRDefault="009739DD" w:rsidP="00B27423">
            <w:pPr>
              <w:pStyle w:val="CROMSTableParameters"/>
            </w:pPr>
            <w:r>
              <w:t>A slide presentation, providing an overview of quality management (QM) and of these QM tools</w:t>
            </w:r>
          </w:p>
        </w:tc>
      </w:tr>
      <w:tr w:rsidR="009739DD" w14:paraId="0C9FB99A" w14:textId="77777777" w:rsidTr="009739DD">
        <w:tc>
          <w:tcPr>
            <w:tcW w:w="4788" w:type="dxa"/>
          </w:tcPr>
          <w:p w14:paraId="64D2E1B1" w14:textId="77777777" w:rsidR="009739DD" w:rsidRDefault="009739DD" w:rsidP="00B27423">
            <w:pPr>
              <w:pStyle w:val="CROMSTableParameters"/>
            </w:pPr>
            <w:r>
              <w:t xml:space="preserve">Clinical Quality Management Plan </w:t>
            </w:r>
            <w:r w:rsidR="004111F0">
              <w:t>(CQMP)</w:t>
            </w:r>
            <w:r>
              <w:t>Template</w:t>
            </w:r>
          </w:p>
        </w:tc>
        <w:tc>
          <w:tcPr>
            <w:tcW w:w="4788" w:type="dxa"/>
          </w:tcPr>
          <w:p w14:paraId="0929333F" w14:textId="77777777" w:rsidR="009739DD" w:rsidRDefault="009739DD" w:rsidP="00B27423">
            <w:pPr>
              <w:pStyle w:val="CROMSTableParameters"/>
            </w:pPr>
            <w:r>
              <w:t>A template, including instructional and sample text, to be used to document the study/site specific approach to quality management</w:t>
            </w:r>
          </w:p>
        </w:tc>
      </w:tr>
      <w:tr w:rsidR="00B27423" w14:paraId="5F76C2F1" w14:textId="77777777" w:rsidTr="009739DD">
        <w:tc>
          <w:tcPr>
            <w:tcW w:w="4788" w:type="dxa"/>
          </w:tcPr>
          <w:p w14:paraId="66A007E2" w14:textId="77777777" w:rsidR="00B27423" w:rsidRDefault="00B27423" w:rsidP="00B27423">
            <w:pPr>
              <w:pStyle w:val="CROMSTableParameters"/>
            </w:pPr>
            <w:r>
              <w:t>Quality Management of Clinical Research – Brief Overview</w:t>
            </w:r>
          </w:p>
        </w:tc>
        <w:tc>
          <w:tcPr>
            <w:tcW w:w="4788" w:type="dxa"/>
          </w:tcPr>
          <w:p w14:paraId="245B591F" w14:textId="77777777" w:rsidR="00B27423" w:rsidRDefault="00FE7B9F" w:rsidP="00B27423">
            <w:pPr>
              <w:pStyle w:val="CROMSTableParameters"/>
            </w:pPr>
            <w:r>
              <w:t>An overview of QM term definitions, activity examples, and available tools and templates</w:t>
            </w:r>
          </w:p>
        </w:tc>
      </w:tr>
      <w:tr w:rsidR="009739DD" w14:paraId="1F5DF1AD" w14:textId="77777777" w:rsidTr="009739DD">
        <w:tc>
          <w:tcPr>
            <w:tcW w:w="4788" w:type="dxa"/>
          </w:tcPr>
          <w:p w14:paraId="6A2178BB" w14:textId="77777777" w:rsidR="009739DD" w:rsidRDefault="009739DD" w:rsidP="00B27423">
            <w:pPr>
              <w:pStyle w:val="CROMSTableParameters"/>
            </w:pPr>
            <w:r>
              <w:t>Quality Management Subject/Participant Data Review Tool</w:t>
            </w:r>
          </w:p>
        </w:tc>
        <w:tc>
          <w:tcPr>
            <w:tcW w:w="4788" w:type="dxa"/>
          </w:tcPr>
          <w:p w14:paraId="21218E54" w14:textId="77777777" w:rsidR="009739DD" w:rsidRDefault="009739DD" w:rsidP="00BD644B">
            <w:pPr>
              <w:pStyle w:val="CROMSTableParameters"/>
            </w:pPr>
            <w:r>
              <w:t xml:space="preserve">A checklist that can be used to conduct </w:t>
            </w:r>
            <w:r w:rsidR="005B5636">
              <w:t>reviews of subject level</w:t>
            </w:r>
            <w:r>
              <w:t xml:space="preserve"> data </w:t>
            </w:r>
            <w:r w:rsidR="004111F0">
              <w:t>and processes</w:t>
            </w:r>
          </w:p>
        </w:tc>
      </w:tr>
      <w:tr w:rsidR="009739DD" w14:paraId="5AB4FB7D" w14:textId="77777777" w:rsidTr="009739DD">
        <w:tc>
          <w:tcPr>
            <w:tcW w:w="4788" w:type="dxa"/>
          </w:tcPr>
          <w:p w14:paraId="720D466C" w14:textId="77777777" w:rsidR="009739DD" w:rsidRDefault="004111F0" w:rsidP="00B27423">
            <w:pPr>
              <w:pStyle w:val="CROMSTableParameters"/>
            </w:pPr>
            <w:r>
              <w:t>Quality Management Study-wide Review Tool</w:t>
            </w:r>
          </w:p>
        </w:tc>
        <w:tc>
          <w:tcPr>
            <w:tcW w:w="4788" w:type="dxa"/>
          </w:tcPr>
          <w:p w14:paraId="02538F81" w14:textId="77777777" w:rsidR="009739DD" w:rsidRDefault="004111F0" w:rsidP="00B27423">
            <w:pPr>
              <w:pStyle w:val="CROMSTableParameters"/>
            </w:pPr>
            <w:r>
              <w:t>A checklist of study-level quality review activities</w:t>
            </w:r>
          </w:p>
        </w:tc>
      </w:tr>
      <w:tr w:rsidR="009739DD" w14:paraId="46D23527" w14:textId="77777777" w:rsidTr="009739DD">
        <w:tc>
          <w:tcPr>
            <w:tcW w:w="4788" w:type="dxa"/>
          </w:tcPr>
          <w:p w14:paraId="6C20CA05" w14:textId="77777777" w:rsidR="009739DD" w:rsidRDefault="004111F0" w:rsidP="00B27423">
            <w:pPr>
              <w:pStyle w:val="CROMSTableParameters"/>
            </w:pPr>
            <w:r>
              <w:t>Quality Management Summary Report Template</w:t>
            </w:r>
          </w:p>
        </w:tc>
        <w:tc>
          <w:tcPr>
            <w:tcW w:w="4788" w:type="dxa"/>
          </w:tcPr>
          <w:p w14:paraId="40F309F8" w14:textId="77777777" w:rsidR="009739DD" w:rsidRDefault="004111F0" w:rsidP="00B27423">
            <w:pPr>
              <w:pStyle w:val="CROMSTableParameters"/>
            </w:pPr>
            <w:r>
              <w:t>A template to support the regular reporting of the quality review activities, as specified in the CQMP</w:t>
            </w:r>
          </w:p>
        </w:tc>
      </w:tr>
    </w:tbl>
    <w:p w14:paraId="094DECA4" w14:textId="77777777" w:rsidR="009739DD" w:rsidRPr="00ED17B3" w:rsidRDefault="009739DD" w:rsidP="00810DFF">
      <w:pPr>
        <w:pStyle w:val="CROMSText"/>
      </w:pPr>
    </w:p>
    <w:p w14:paraId="0D7C1065" w14:textId="77777777" w:rsidR="00C2381C" w:rsidRPr="006E4872" w:rsidRDefault="004A678F" w:rsidP="00CA5F34">
      <w:pPr>
        <w:pStyle w:val="Heading1"/>
      </w:pPr>
      <w:bookmarkStart w:id="45" w:name="_Toc306184350"/>
      <w:bookmarkStart w:id="46" w:name="_Toc375231215"/>
      <w:bookmarkEnd w:id="45"/>
      <w:r w:rsidRPr="006E4872">
        <w:lastRenderedPageBreak/>
        <w:t>SPECIMEN AND MATERIALS MANAGEMENT</w:t>
      </w:r>
      <w:bookmarkEnd w:id="46"/>
    </w:p>
    <w:p w14:paraId="6B8DAABC" w14:textId="77777777" w:rsidR="004B4E4B" w:rsidRPr="00B8270F" w:rsidRDefault="00B651F0" w:rsidP="00CA5F34">
      <w:pPr>
        <w:pStyle w:val="Heading2"/>
      </w:pPr>
      <w:bookmarkStart w:id="47" w:name="_Toc375231216"/>
      <w:r w:rsidRPr="00B8270F">
        <w:t>Specimen</w:t>
      </w:r>
      <w:r w:rsidR="00C2381C" w:rsidRPr="00B8270F">
        <w:t xml:space="preserve"> Handling</w:t>
      </w:r>
      <w:r w:rsidRPr="00B8270F">
        <w:t xml:space="preserve"> and Tracking</w:t>
      </w:r>
      <w:bookmarkEnd w:id="47"/>
    </w:p>
    <w:p w14:paraId="34DBE968" w14:textId="77777777" w:rsidR="00B8270F" w:rsidRPr="00B8270F" w:rsidRDefault="00B8270F" w:rsidP="00B8270F">
      <w:pPr>
        <w:pStyle w:val="CROMSText"/>
      </w:pPr>
      <w:r w:rsidRPr="00B8270F">
        <w:t>Studies that include specimen collection should ensure that the process for collection, handling, storage, and tracking is clearly established and documented.  Often this documentation will be included as a section in the MOP or as a stand-alone Standard Operating Procedure.</w:t>
      </w:r>
    </w:p>
    <w:p w14:paraId="7395FF0A" w14:textId="77777777" w:rsidR="004B4E4B" w:rsidRPr="00B8270F" w:rsidRDefault="00B651F0" w:rsidP="00CA5F34">
      <w:pPr>
        <w:pStyle w:val="Heading2"/>
      </w:pPr>
      <w:bookmarkStart w:id="48" w:name="_Toc375231217"/>
      <w:r w:rsidRPr="00B8270F">
        <w:t>Specimen and Other Materials</w:t>
      </w:r>
      <w:bookmarkEnd w:id="48"/>
    </w:p>
    <w:p w14:paraId="5C660EAE" w14:textId="77777777" w:rsidR="00B651F0" w:rsidRPr="00AD6538" w:rsidRDefault="00B651F0" w:rsidP="00B651F0">
      <w:pPr>
        <w:pStyle w:val="CROMSText"/>
      </w:pPr>
      <w:r>
        <w:t>Materials necessary to co</w:t>
      </w:r>
      <w:r w:rsidR="00B8270F">
        <w:t>nduct the protocol should be on-</w:t>
      </w:r>
      <w:r>
        <w:t xml:space="preserve">site prior to the initiation visit.  CROMS and OCTOM will be responsible for verifying that all materials are available during the initiation visit.  Materials could include specimen tubes and labels, packing and shipping materials, procedure equipment and supplies, paper CRFs (if applicable), and </w:t>
      </w:r>
      <w:r w:rsidR="00B7278F">
        <w:t>p</w:t>
      </w:r>
      <w:r>
        <w:t>articipant/subject informational or instructional material.</w:t>
      </w:r>
    </w:p>
    <w:p w14:paraId="524E005A" w14:textId="77777777" w:rsidR="008D41EB" w:rsidRDefault="004A678F" w:rsidP="00CA5F34">
      <w:pPr>
        <w:pStyle w:val="Heading1"/>
      </w:pPr>
      <w:bookmarkStart w:id="49" w:name="_Toc375231218"/>
      <w:r>
        <w:t>CLINICAL SITE MONITORING</w:t>
      </w:r>
      <w:bookmarkEnd w:id="49"/>
    </w:p>
    <w:p w14:paraId="1570600E" w14:textId="77777777" w:rsidR="004B4E4B" w:rsidRDefault="00B651F0" w:rsidP="00CA5F34">
      <w:pPr>
        <w:pStyle w:val="Heading2"/>
      </w:pPr>
      <w:bookmarkStart w:id="50" w:name="_Toc375231219"/>
      <w:r>
        <w:t>Pre-Site Initiation Teleconference with OCTOM and CROMS</w:t>
      </w:r>
      <w:bookmarkEnd w:id="50"/>
    </w:p>
    <w:p w14:paraId="1321A705" w14:textId="77777777" w:rsidR="00B651F0" w:rsidRDefault="00B651F0" w:rsidP="00B651F0">
      <w:pPr>
        <w:pStyle w:val="CROMSText"/>
      </w:pPr>
      <w:r>
        <w:t xml:space="preserve">In order to help sites ensure that they are sufficiently prepared to begin participant enrollment, OCTOM, CROMS, and the Program Official may conduct a site </w:t>
      </w:r>
      <w:r w:rsidR="00E54F30">
        <w:t>initiation teleconference</w:t>
      </w:r>
      <w:r>
        <w:t xml:space="preserve"> with the site PI and the study coordinator prior to the site initiation visit. </w:t>
      </w:r>
      <w:r w:rsidR="00523E23">
        <w:t xml:space="preserve"> Refer to the </w:t>
      </w:r>
      <w:r>
        <w:rPr>
          <w:b/>
        </w:rPr>
        <w:t>S</w:t>
      </w:r>
      <w:r w:rsidRPr="001B2C85">
        <w:rPr>
          <w:b/>
        </w:rPr>
        <w:t xml:space="preserve">ite </w:t>
      </w:r>
      <w:r>
        <w:rPr>
          <w:b/>
        </w:rPr>
        <w:t>Assessment Q</w:t>
      </w:r>
      <w:r w:rsidRPr="001B2C85">
        <w:rPr>
          <w:b/>
        </w:rPr>
        <w:t>uestionnaire</w:t>
      </w:r>
      <w:r w:rsidR="00523E23">
        <w:t xml:space="preserve"> tool for samples of questions that may be asked of the study team during this teleconference</w:t>
      </w:r>
      <w:r w:rsidR="005A5809">
        <w:rPr>
          <w:b/>
        </w:rPr>
        <w:t xml:space="preserve"> </w:t>
      </w:r>
      <w:r w:rsidR="005A5809">
        <w:t>(see the Clinical Monitoring folder of Clinical Tool Box</w:t>
      </w:r>
      <w:r w:rsidR="00523E23">
        <w:t xml:space="preserve"> and </w:t>
      </w:r>
      <w:r w:rsidR="003D166B">
        <w:t>the NIDCR Toolkit</w:t>
      </w:r>
      <w:r w:rsidR="005A5809">
        <w:t>)</w:t>
      </w:r>
      <w:r>
        <w:t>.  If this questionnaire is used, CROMS will pre-fill as much of it as possible to avoid unnecessary effort on the part of the clinical site.  CROMS may request advance copies of key study documents for review (e.g., protocol, CD, MOP, CRF, study timeline) prior to the teleconference.</w:t>
      </w:r>
    </w:p>
    <w:p w14:paraId="0D112B8F" w14:textId="77777777" w:rsidR="00B651F0" w:rsidRDefault="003D166B" w:rsidP="00B651F0">
      <w:pPr>
        <w:pStyle w:val="CROMSText"/>
      </w:pPr>
      <w:r>
        <w:t>Teleconference discussions</w:t>
      </w:r>
      <w:r w:rsidR="006E5412">
        <w:t xml:space="preserve"> /</w:t>
      </w:r>
      <w:r>
        <w:t xml:space="preserve"> </w:t>
      </w:r>
      <w:r w:rsidR="00B651F0">
        <w:t>questionnaire</w:t>
      </w:r>
      <w:r>
        <w:t xml:space="preserve"> responses</w:t>
      </w:r>
      <w:r w:rsidR="00B651F0">
        <w:t xml:space="preserve"> and review of the key study documents will guide the scheduling of the initiation visit. </w:t>
      </w:r>
    </w:p>
    <w:p w14:paraId="66C0BE06" w14:textId="77777777" w:rsidR="00B651F0" w:rsidRDefault="00B651F0" w:rsidP="00B651F0">
      <w:pPr>
        <w:pStyle w:val="CROMSText"/>
      </w:pPr>
      <w:r>
        <w:t>CROMS has staff available to support sites with most aspects of the start</w:t>
      </w:r>
      <w:r w:rsidR="002D3992">
        <w:t>-</w:t>
      </w:r>
      <w:r>
        <w:t xml:space="preserve">up and initiation process (e.g., familiarizing teams with available tools, supporting the establishment of timelines, </w:t>
      </w:r>
      <w:r>
        <w:lastRenderedPageBreak/>
        <w:t xml:space="preserve">preparing for the site initiation visit).  Requests for CROMS support should be directed to the study’s </w:t>
      </w:r>
      <w:r w:rsidR="004669AC">
        <w:t>P</w:t>
      </w:r>
      <w:r>
        <w:t xml:space="preserve">rogram </w:t>
      </w:r>
      <w:r w:rsidR="004669AC">
        <w:t>O</w:t>
      </w:r>
      <w:r>
        <w:t>fficial, who will communicate with OCTOM.</w:t>
      </w:r>
    </w:p>
    <w:p w14:paraId="0B46EB69" w14:textId="77777777" w:rsidR="004B4E4B" w:rsidRDefault="00E56127" w:rsidP="00CA5F34">
      <w:pPr>
        <w:pStyle w:val="Heading2"/>
      </w:pPr>
      <w:bookmarkStart w:id="51" w:name="_Toc375231220"/>
      <w:r>
        <w:t>Clinical Site Monitoring Plan (CMP)</w:t>
      </w:r>
      <w:bookmarkStart w:id="52" w:name="_Toc275225447"/>
      <w:bookmarkEnd w:id="51"/>
    </w:p>
    <w:p w14:paraId="3AC1DEF5" w14:textId="77777777" w:rsidR="00E051C3" w:rsidRDefault="00E051C3" w:rsidP="00482DB4">
      <w:pPr>
        <w:pStyle w:val="CROMSText"/>
      </w:pPr>
      <w:r>
        <w:t xml:space="preserve">Clinical site monitoring is </w:t>
      </w:r>
      <w:r w:rsidRPr="00E051C3">
        <w:t>performed by a site monitor to provide informati</w:t>
      </w:r>
      <w:r w:rsidR="00CA096B">
        <w:t>o</w:t>
      </w:r>
      <w:r w:rsidRPr="00E051C3">
        <w:t xml:space="preserve">n to NIDCR </w:t>
      </w:r>
      <w:r w:rsidR="00CA096B">
        <w:t xml:space="preserve">on study </w:t>
      </w:r>
      <w:r w:rsidRPr="00E051C3">
        <w:t xml:space="preserve">progress and conduct </w:t>
      </w:r>
      <w:r w:rsidR="00B52DB0">
        <w:t xml:space="preserve">to </w:t>
      </w:r>
      <w:r w:rsidRPr="00E051C3">
        <w:t>ensure the study is conducted, recorded</w:t>
      </w:r>
      <w:r w:rsidR="0089371A">
        <w:t>,</w:t>
      </w:r>
      <w:r w:rsidRPr="00E051C3">
        <w:t xml:space="preserve"> and reported in accordance with the protocol, Good Clinical Practice standards</w:t>
      </w:r>
      <w:r w:rsidR="00D310FE">
        <w:t>,</w:t>
      </w:r>
      <w:r w:rsidRPr="00E051C3">
        <w:t xml:space="preserve"> and any applicable regulatory requirements</w:t>
      </w:r>
      <w:r>
        <w:t xml:space="preserve">. </w:t>
      </w:r>
    </w:p>
    <w:p w14:paraId="3A931F3E" w14:textId="77777777" w:rsidR="008229C8" w:rsidRDefault="006C69D6" w:rsidP="00482DB4">
      <w:pPr>
        <w:pStyle w:val="CROMSText"/>
      </w:pPr>
      <w:r>
        <w:t xml:space="preserve">When assigned clinical monitoring responsibilities by OCTOM, </w:t>
      </w:r>
      <w:r w:rsidR="00482DB4">
        <w:t xml:space="preserve">CROMS will prepare a clinical monitoring plan (CMP) for the study.  </w:t>
      </w:r>
      <w:r w:rsidR="003C4C12">
        <w:t xml:space="preserve">The clinical research associate (CRA) is the individual from CROMS (or elsewhere, if so designated) who will be responsible for preparing the CMP and for conducting site monitoring visits.  The CRA </w:t>
      </w:r>
      <w:r w:rsidR="00482DB4">
        <w:t xml:space="preserve">will tailor the </w:t>
      </w:r>
      <w:r w:rsidR="00482DB4" w:rsidRPr="00482DB4">
        <w:rPr>
          <w:b/>
        </w:rPr>
        <w:t>C</w:t>
      </w:r>
      <w:r w:rsidR="008A0BB3">
        <w:rPr>
          <w:b/>
        </w:rPr>
        <w:t xml:space="preserve">linical </w:t>
      </w:r>
      <w:r w:rsidR="00482DB4" w:rsidRPr="00482DB4">
        <w:rPr>
          <w:b/>
        </w:rPr>
        <w:t>M</w:t>
      </w:r>
      <w:r w:rsidR="008A0BB3">
        <w:rPr>
          <w:b/>
        </w:rPr>
        <w:t xml:space="preserve">onitoring </w:t>
      </w:r>
      <w:r w:rsidR="00482DB4" w:rsidRPr="00482DB4">
        <w:rPr>
          <w:b/>
        </w:rPr>
        <w:t>P</w:t>
      </w:r>
      <w:r w:rsidR="008A0BB3">
        <w:rPr>
          <w:b/>
        </w:rPr>
        <w:t>lan</w:t>
      </w:r>
      <w:r w:rsidR="00482DB4" w:rsidRPr="00482DB4">
        <w:rPr>
          <w:b/>
        </w:rPr>
        <w:t xml:space="preserve"> Template</w:t>
      </w:r>
      <w:r w:rsidR="00482DB4">
        <w:t xml:space="preserve"> to meet the needs of the study</w:t>
      </w:r>
      <w:r w:rsidR="005A5809">
        <w:t xml:space="preserve"> (see the Clinical Monitoring folder of Clinical Tool Box</w:t>
      </w:r>
      <w:r w:rsidR="008229C8">
        <w:t xml:space="preserve"> and the NIDCR Toolkit</w:t>
      </w:r>
      <w:r w:rsidR="005A5809">
        <w:t>)</w:t>
      </w:r>
      <w:r w:rsidR="00482DB4">
        <w:t>.  The document will be approved by OCTOM, but approval is not required prior to site activation.</w:t>
      </w:r>
      <w:r w:rsidR="00D90D2E">
        <w:t xml:space="preserve"> If monitoring is performed by a group other than CROMS, the monitoring plan and visit reports must be submitted to the </w:t>
      </w:r>
      <w:r w:rsidR="004669AC">
        <w:t>P</w:t>
      </w:r>
      <w:r w:rsidR="00D90D2E">
        <w:t xml:space="preserve">rogram </w:t>
      </w:r>
      <w:r w:rsidR="004669AC">
        <w:t>O</w:t>
      </w:r>
      <w:r w:rsidR="00D90D2E">
        <w:t>fficial and OCTOM.</w:t>
      </w:r>
    </w:p>
    <w:p w14:paraId="392256E1" w14:textId="77777777" w:rsidR="00086768" w:rsidRPr="00101A03" w:rsidRDefault="00086768" w:rsidP="00CA5F34">
      <w:pPr>
        <w:pStyle w:val="Heading2"/>
      </w:pPr>
      <w:bookmarkStart w:id="53" w:name="_Toc375231221"/>
      <w:r w:rsidRPr="00101A03">
        <w:t>Site Initiation Visit (SIV)</w:t>
      </w:r>
      <w:bookmarkEnd w:id="53"/>
    </w:p>
    <w:p w14:paraId="756BC8E8" w14:textId="77777777" w:rsidR="004B4E4B" w:rsidRDefault="007E5230">
      <w:pPr>
        <w:pStyle w:val="CROMSText"/>
      </w:pPr>
      <w:r>
        <w:t xml:space="preserve">The SIV is led by the site Principal Investigator and the site study team.  Additional participants/attendees include the </w:t>
      </w:r>
      <w:r w:rsidR="00040F16">
        <w:t xml:space="preserve">DCC </w:t>
      </w:r>
      <w:r>
        <w:t>team, the NIDCR Program Official, a representative of OCTOM,</w:t>
      </w:r>
      <w:r w:rsidR="00623B3C">
        <w:t xml:space="preserve"> and</w:t>
      </w:r>
      <w:r>
        <w:t xml:space="preserve"> the CROMS CRA.  See Section </w:t>
      </w:r>
      <w:r w:rsidR="00BA2600">
        <w:fldChar w:fldCharType="begin"/>
      </w:r>
      <w:r>
        <w:instrText xml:space="preserve"> REF _Ref306184052 \r \h </w:instrText>
      </w:r>
      <w:r w:rsidR="00BA2600">
        <w:fldChar w:fldCharType="separate"/>
      </w:r>
      <w:r w:rsidR="00791B9C">
        <w:t>9.1</w:t>
      </w:r>
      <w:r w:rsidR="00BA2600">
        <w:fldChar w:fldCharType="end"/>
      </w:r>
      <w:r>
        <w:t xml:space="preserve"> for additional details.</w:t>
      </w:r>
    </w:p>
    <w:p w14:paraId="43075DF3" w14:textId="77777777" w:rsidR="00C771AE" w:rsidRDefault="00AC2301" w:rsidP="00CA5F34">
      <w:pPr>
        <w:pStyle w:val="Heading1"/>
      </w:pPr>
      <w:bookmarkStart w:id="54" w:name="_Toc306184367"/>
      <w:bookmarkStart w:id="55" w:name="_Toc306184368"/>
      <w:bookmarkStart w:id="56" w:name="_Toc306184371"/>
      <w:bookmarkStart w:id="57" w:name="_Toc375231222"/>
      <w:bookmarkStart w:id="58" w:name="_Toc275225449"/>
      <w:bookmarkEnd w:id="52"/>
      <w:bookmarkEnd w:id="54"/>
      <w:bookmarkEnd w:id="55"/>
      <w:bookmarkEnd w:id="56"/>
      <w:r>
        <w:t>SITE INITIATION, CTOA, AND ACTIVATION</w:t>
      </w:r>
      <w:bookmarkEnd w:id="57"/>
    </w:p>
    <w:p w14:paraId="0CABFBE3" w14:textId="77777777" w:rsidR="00C771AE" w:rsidRPr="00C771AE" w:rsidRDefault="00C771AE" w:rsidP="00C771AE">
      <w:pPr>
        <w:pStyle w:val="CROMSText"/>
      </w:pPr>
      <w:r>
        <w:t xml:space="preserve">This section details the process for site initiation, meeting the </w:t>
      </w:r>
      <w:proofErr w:type="spellStart"/>
      <w:r>
        <w:t>CToA</w:t>
      </w:r>
      <w:proofErr w:type="spellEnd"/>
      <w:r>
        <w:t>, and site activation.  See Appendix B for a summary of items that are recommended or require</w:t>
      </w:r>
      <w:r w:rsidR="00623B3C">
        <w:t>d</w:t>
      </w:r>
      <w:r>
        <w:t xml:space="preserve"> at each step.</w:t>
      </w:r>
    </w:p>
    <w:p w14:paraId="3CEAE751" w14:textId="77777777" w:rsidR="008C255B" w:rsidRDefault="00C771AE" w:rsidP="00CA5F34">
      <w:pPr>
        <w:pStyle w:val="Heading2"/>
      </w:pPr>
      <w:bookmarkStart w:id="59" w:name="_Ref306184052"/>
      <w:bookmarkStart w:id="60" w:name="_Toc375231223"/>
      <w:r>
        <w:t>Site Initiation Visit</w:t>
      </w:r>
      <w:bookmarkEnd w:id="58"/>
      <w:r w:rsidR="00A71EB9">
        <w:t xml:space="preserve"> (SIV)</w:t>
      </w:r>
      <w:bookmarkEnd w:id="59"/>
      <w:bookmarkEnd w:id="60"/>
    </w:p>
    <w:p w14:paraId="1AB8DC94" w14:textId="77777777" w:rsidR="00202295" w:rsidRDefault="00DE5DCD" w:rsidP="00DE5DCD">
      <w:pPr>
        <w:pStyle w:val="CROMSText"/>
      </w:pPr>
      <w:r>
        <w:t xml:space="preserve">When </w:t>
      </w:r>
      <w:r w:rsidR="00D90D2E">
        <w:t xml:space="preserve">the </w:t>
      </w:r>
      <w:r w:rsidR="004669AC">
        <w:t>P</w:t>
      </w:r>
      <w:r w:rsidR="00D90D2E">
        <w:t xml:space="preserve">rogram </w:t>
      </w:r>
      <w:r w:rsidR="004669AC">
        <w:t>O</w:t>
      </w:r>
      <w:r w:rsidR="00D90D2E">
        <w:t xml:space="preserve">fficial and </w:t>
      </w:r>
      <w:r>
        <w:t>OCTOM determine that the site is sufficiently prepared to begin participant recruitment, CROMS will schedule an Initiation Visit</w:t>
      </w:r>
      <w:r w:rsidR="0053268A">
        <w:t xml:space="preserve"> to the site. </w:t>
      </w:r>
      <w:r w:rsidR="00DF1631">
        <w:t xml:space="preserve">The </w:t>
      </w:r>
      <w:r w:rsidR="00EB0CFA">
        <w:t>Site Initiation</w:t>
      </w:r>
      <w:r w:rsidR="00DF1631">
        <w:t xml:space="preserve"> Visit</w:t>
      </w:r>
      <w:r w:rsidR="000F3D29">
        <w:t xml:space="preserve"> (SIV)</w:t>
      </w:r>
      <w:r w:rsidR="00DF1631">
        <w:t xml:space="preserve"> should be scheduled </w:t>
      </w:r>
      <w:r w:rsidR="00EB0CFA">
        <w:t>soon before</w:t>
      </w:r>
      <w:r w:rsidR="00DF1631">
        <w:t xml:space="preserve"> the anticipated activation date so information discussed at the visit is retained by the site staff.</w:t>
      </w:r>
      <w:r w:rsidR="00763ABE">
        <w:t xml:space="preserve"> </w:t>
      </w:r>
      <w:r w:rsidR="00DF1631">
        <w:t xml:space="preserve"> If the study is not initiated at </w:t>
      </w:r>
      <w:r w:rsidR="00EB0CFA">
        <w:t xml:space="preserve">a </w:t>
      </w:r>
      <w:r w:rsidR="00DF1631">
        <w:t xml:space="preserve">site within 8 </w:t>
      </w:r>
      <w:r w:rsidR="00DF1631">
        <w:lastRenderedPageBreak/>
        <w:t xml:space="preserve">weeks of the </w:t>
      </w:r>
      <w:r w:rsidR="00EB0CFA">
        <w:t xml:space="preserve">Site </w:t>
      </w:r>
      <w:r w:rsidR="00DF1631">
        <w:t xml:space="preserve">Initiation Visit, appropriate material from the </w:t>
      </w:r>
      <w:r w:rsidR="000F3D29">
        <w:t>SIV</w:t>
      </w:r>
      <w:r w:rsidR="00DF1631">
        <w:t xml:space="preserve"> will be reviewed again with the site staff.</w:t>
      </w:r>
      <w:r w:rsidR="0053268A">
        <w:t xml:space="preserve"> Participants will include the </w:t>
      </w:r>
      <w:r w:rsidR="00B23CFA">
        <w:t xml:space="preserve">site </w:t>
      </w:r>
      <w:r w:rsidR="00503AE3">
        <w:t xml:space="preserve">PI, the </w:t>
      </w:r>
      <w:r w:rsidR="0053268A">
        <w:t>CROMS study coordinator (if applicable) and/or the CROMS CRA,</w:t>
      </w:r>
      <w:r>
        <w:t xml:space="preserve"> </w:t>
      </w:r>
      <w:r w:rsidR="0053268A">
        <w:t>an OCTOM representative</w:t>
      </w:r>
      <w:r w:rsidR="00D90D2E">
        <w:t xml:space="preserve"> if needed</w:t>
      </w:r>
      <w:r w:rsidR="0053268A">
        <w:t xml:space="preserve">, the Program Official, the site </w:t>
      </w:r>
      <w:r w:rsidR="00B23CFA">
        <w:t>PI</w:t>
      </w:r>
      <w:r w:rsidR="0053268A">
        <w:t>, all other relevant co-investigators</w:t>
      </w:r>
      <w:r w:rsidR="001E59FA">
        <w:t>,</w:t>
      </w:r>
      <w:r w:rsidR="0053268A">
        <w:t xml:space="preserve"> and site</w:t>
      </w:r>
      <w:r>
        <w:t xml:space="preserve"> </w:t>
      </w:r>
      <w:r w:rsidR="0053268A">
        <w:t>staff.</w:t>
      </w:r>
      <w:r w:rsidR="00202295">
        <w:t xml:space="preserve">  Visits may be 1 or 2 days depending on the scope of the agenda.  A</w:t>
      </w:r>
      <w:r w:rsidR="00353BBA">
        <w:t xml:space="preserve"> </w:t>
      </w:r>
      <w:r w:rsidR="00353BBA" w:rsidRPr="00353BBA">
        <w:rPr>
          <w:b/>
        </w:rPr>
        <w:t>Site</w:t>
      </w:r>
      <w:r w:rsidR="00202295">
        <w:t xml:space="preserve"> </w:t>
      </w:r>
      <w:r w:rsidR="00202295" w:rsidRPr="00202295">
        <w:rPr>
          <w:b/>
        </w:rPr>
        <w:t>Initiation Visit Agenda Template</w:t>
      </w:r>
      <w:r w:rsidR="00353BBA">
        <w:rPr>
          <w:b/>
        </w:rPr>
        <w:t xml:space="preserve"> </w:t>
      </w:r>
      <w:r w:rsidR="00202295">
        <w:t xml:space="preserve">is available for study specific customization.  </w:t>
      </w:r>
      <w:r w:rsidR="00353BBA">
        <w:t xml:space="preserve">Also available is an </w:t>
      </w:r>
      <w:r w:rsidR="00353BBA" w:rsidRPr="00353BBA">
        <w:rPr>
          <w:b/>
        </w:rPr>
        <w:t>annotated version of the SIV Agenda Template</w:t>
      </w:r>
      <w:r w:rsidR="00353BBA" w:rsidRPr="00353BBA">
        <w:t xml:space="preserve"> </w:t>
      </w:r>
      <w:r w:rsidR="004D400B">
        <w:t>which</w:t>
      </w:r>
      <w:r w:rsidR="00353BBA" w:rsidRPr="00353BBA">
        <w:t xml:space="preserve"> includes additional guidance about the meeting’s content and conduct</w:t>
      </w:r>
      <w:r w:rsidR="00EE1476">
        <w:t xml:space="preserve"> </w:t>
      </w:r>
      <w:r w:rsidR="00E10952">
        <w:t xml:space="preserve">(see the Clinical Monitoring </w:t>
      </w:r>
      <w:r w:rsidR="006C69D6">
        <w:t xml:space="preserve">section </w:t>
      </w:r>
      <w:r w:rsidR="00E10952">
        <w:t>of Clinical Tool Box</w:t>
      </w:r>
      <w:r w:rsidR="006C69D6">
        <w:t xml:space="preserve"> and the NIDCR Toolkit</w:t>
      </w:r>
      <w:r w:rsidR="00A26B89">
        <w:t xml:space="preserve"> [non-annotated only])</w:t>
      </w:r>
      <w:r w:rsidR="00E10952">
        <w:t xml:space="preserve">.  </w:t>
      </w:r>
      <w:r w:rsidR="00602189">
        <w:t>Please refer to this agenda for activities that will oc</w:t>
      </w:r>
      <w:r w:rsidR="007D1945">
        <w:t>cur during the visit.  In general,</w:t>
      </w:r>
      <w:r w:rsidR="00602189">
        <w:t xml:space="preserve"> the meeting will include protocol </w:t>
      </w:r>
      <w:r w:rsidR="007D1945">
        <w:t>r</w:t>
      </w:r>
      <w:r w:rsidR="00D90D2E">
        <w:t>e</w:t>
      </w:r>
      <w:r w:rsidR="007D1945">
        <w:t xml:space="preserve">view and detailed </w:t>
      </w:r>
      <w:r w:rsidR="00D90D2E">
        <w:t>discussion of study implementation</w:t>
      </w:r>
      <w:r w:rsidR="007D1945">
        <w:t>; MOP/study procedures review; data handling and electronic systems training;</w:t>
      </w:r>
      <w:r w:rsidR="00602189">
        <w:t xml:space="preserve"> </w:t>
      </w:r>
      <w:r w:rsidR="007D1945">
        <w:t>investigational product distribution and handling (if applicable); specimen</w:t>
      </w:r>
      <w:r w:rsidR="00D90D2E">
        <w:t xml:space="preserve"> </w:t>
      </w:r>
      <w:r w:rsidR="007D1945">
        <w:t>processing</w:t>
      </w:r>
      <w:r w:rsidR="00D90D2E">
        <w:t>, storage</w:t>
      </w:r>
      <w:r w:rsidR="00714875">
        <w:t>,</w:t>
      </w:r>
      <w:r w:rsidR="00D90D2E">
        <w:t xml:space="preserve"> and shipping</w:t>
      </w:r>
      <w:r w:rsidR="007D1945">
        <w:t xml:space="preserve"> procedures; safety reporting; clinical monitoring; good clinical practice training</w:t>
      </w:r>
      <w:r w:rsidR="001E59FA">
        <w:t>:</w:t>
      </w:r>
      <w:r w:rsidR="007D1945">
        <w:t xml:space="preserve"> </w:t>
      </w:r>
      <w:r w:rsidR="00503AE3">
        <w:t>sponsor</w:t>
      </w:r>
      <w:r w:rsidR="007D1945">
        <w:t xml:space="preserve"> and investigator responsibilities</w:t>
      </w:r>
      <w:r w:rsidR="001E59FA">
        <w:t>;</w:t>
      </w:r>
      <w:r w:rsidR="007D1945">
        <w:t xml:space="preserve"> and record retention.  If the Essential Document files have not already been reviewed and approved prior to the visit, CROMS and OCTOM will review during the visit.</w:t>
      </w:r>
    </w:p>
    <w:p w14:paraId="40F2DE8D" w14:textId="77777777" w:rsidR="002133F2" w:rsidRDefault="002133F2" w:rsidP="00DE5DCD">
      <w:pPr>
        <w:pStyle w:val="CROMSText"/>
      </w:pPr>
      <w:r>
        <w:t>A facilities tour is common and a review of other on-site study materials may be conducted.</w:t>
      </w:r>
    </w:p>
    <w:p w14:paraId="40509752" w14:textId="77777777" w:rsidR="00DE5DCD" w:rsidRDefault="00BB52C9" w:rsidP="00DE5DCD">
      <w:pPr>
        <w:pStyle w:val="CROMSText"/>
      </w:pPr>
      <w:r>
        <w:t xml:space="preserve">CROMS will organize and guide the </w:t>
      </w:r>
      <w:r w:rsidR="001E59FA">
        <w:t xml:space="preserve">Site </w:t>
      </w:r>
      <w:r>
        <w:t xml:space="preserve">Initiation Visit when it holds responsibility for study management and other clinical services.  If CROMS </w:t>
      </w:r>
      <w:r w:rsidR="00D90D2E">
        <w:t xml:space="preserve">is not providing project management support for the study, </w:t>
      </w:r>
      <w:r>
        <w:t xml:space="preserve">the </w:t>
      </w:r>
      <w:r w:rsidR="00B23CFA">
        <w:t xml:space="preserve">site </w:t>
      </w:r>
      <w:r w:rsidR="00B338EE">
        <w:t>PI</w:t>
      </w:r>
      <w:r>
        <w:t xml:space="preserve"> will be responsible for the agenda and for guiding the visit</w:t>
      </w:r>
      <w:r w:rsidR="00202295">
        <w:t>.</w:t>
      </w:r>
    </w:p>
    <w:p w14:paraId="6ECA054B" w14:textId="77777777" w:rsidR="00415DD5" w:rsidRPr="00DE5DCD" w:rsidRDefault="00415DD5" w:rsidP="00DE5DCD">
      <w:pPr>
        <w:pStyle w:val="CROMSText"/>
      </w:pPr>
      <w:r>
        <w:t xml:space="preserve">CROMS will issue a visit report that details the findings from the visit.  The report will include a list of action items and will clarify any items that remain outstanding and that must be completed prior to activation.  The report will be reviewed by OCTOM, and the final version will be sent to the </w:t>
      </w:r>
      <w:r w:rsidR="00B338EE">
        <w:t xml:space="preserve">PI and </w:t>
      </w:r>
      <w:r w:rsidR="00300EA6">
        <w:t>site PI</w:t>
      </w:r>
      <w:r w:rsidR="00B338EE">
        <w:t xml:space="preserve"> </w:t>
      </w:r>
      <w:r>
        <w:t>with a copy to the Program Official.</w:t>
      </w:r>
    </w:p>
    <w:p w14:paraId="573A0CA6" w14:textId="77777777" w:rsidR="00CA70A4" w:rsidRDefault="00C771AE" w:rsidP="00CA5F34">
      <w:pPr>
        <w:pStyle w:val="Heading2"/>
      </w:pPr>
      <w:bookmarkStart w:id="61" w:name="_Toc275225450"/>
      <w:bookmarkStart w:id="62" w:name="_Toc375231224"/>
      <w:r>
        <w:t>Clinical Terms of Award</w:t>
      </w:r>
      <w:bookmarkEnd w:id="61"/>
      <w:bookmarkEnd w:id="62"/>
      <w:r w:rsidR="00BA37D5">
        <w:t xml:space="preserve"> </w:t>
      </w:r>
    </w:p>
    <w:p w14:paraId="690426A0" w14:textId="77777777" w:rsidR="00974029" w:rsidRDefault="00CA70A4" w:rsidP="00974029">
      <w:pPr>
        <w:pStyle w:val="CROMSText"/>
        <w:rPr>
          <w:b/>
          <w:bCs/>
        </w:rPr>
      </w:pPr>
      <w:r>
        <w:t xml:space="preserve">The NIH responsibilities associated with clinical terms of award </w:t>
      </w:r>
      <w:r w:rsidR="000004DB">
        <w:t>(</w:t>
      </w:r>
      <w:proofErr w:type="spellStart"/>
      <w:r w:rsidR="000004DB">
        <w:t>CToA</w:t>
      </w:r>
      <w:proofErr w:type="spellEnd"/>
      <w:r w:rsidR="000004DB">
        <w:t xml:space="preserve">) </w:t>
      </w:r>
      <w:r>
        <w:t>are well documented in</w:t>
      </w:r>
      <w:r w:rsidR="003E56BD">
        <w:t xml:space="preserve"> </w:t>
      </w:r>
      <w:hyperlink r:id="rId32" w:history="1">
        <w:r w:rsidRPr="003E56BD">
          <w:rPr>
            <w:rStyle w:val="Hyperlink"/>
            <w:b/>
            <w:bCs/>
          </w:rPr>
          <w:t>NIDCR Clinical Terms of Award</w:t>
        </w:r>
      </w:hyperlink>
      <w:r>
        <w:rPr>
          <w:b/>
          <w:bCs/>
        </w:rPr>
        <w:t>.</w:t>
      </w:r>
      <w:r w:rsidR="00BA37D5">
        <w:rPr>
          <w:b/>
          <w:bCs/>
        </w:rPr>
        <w:t xml:space="preserve">  </w:t>
      </w:r>
      <w:r w:rsidR="005F5C85">
        <w:rPr>
          <w:bCs/>
        </w:rPr>
        <w:t>The Program Official</w:t>
      </w:r>
      <w:r w:rsidR="005F5C85" w:rsidRPr="005F5C85">
        <w:rPr>
          <w:bCs/>
        </w:rPr>
        <w:t xml:space="preserve"> tracks </w:t>
      </w:r>
      <w:proofErr w:type="spellStart"/>
      <w:r w:rsidR="005F5C85" w:rsidRPr="005F5C85">
        <w:rPr>
          <w:bCs/>
        </w:rPr>
        <w:t>CToA</w:t>
      </w:r>
      <w:proofErr w:type="spellEnd"/>
      <w:r w:rsidR="005F5C85" w:rsidRPr="005F5C85">
        <w:rPr>
          <w:bCs/>
        </w:rPr>
        <w:t xml:space="preserve"> in the electronic </w:t>
      </w:r>
      <w:proofErr w:type="spellStart"/>
      <w:r w:rsidR="005F5C85" w:rsidRPr="005F5C85">
        <w:rPr>
          <w:bCs/>
        </w:rPr>
        <w:t>CToA</w:t>
      </w:r>
      <w:proofErr w:type="spellEnd"/>
      <w:r w:rsidR="005F5C85" w:rsidRPr="005F5C85">
        <w:rPr>
          <w:bCs/>
        </w:rPr>
        <w:t xml:space="preserve"> system </w:t>
      </w:r>
      <w:r w:rsidR="005F5C85">
        <w:rPr>
          <w:bCs/>
        </w:rPr>
        <w:t xml:space="preserve">that is </w:t>
      </w:r>
      <w:r w:rsidR="005F5C85" w:rsidRPr="005F5C85">
        <w:rPr>
          <w:bCs/>
        </w:rPr>
        <w:t>accessed via the CROMS website.</w:t>
      </w:r>
    </w:p>
    <w:p w14:paraId="5F4ABEA9" w14:textId="77777777" w:rsidR="00EE1476" w:rsidRDefault="004634A1" w:rsidP="00974029">
      <w:pPr>
        <w:pStyle w:val="CROMSText"/>
        <w:rPr>
          <w:rStyle w:val="Hyperlink"/>
          <w:rFonts w:ascii="Calibri" w:hAnsi="Calibri"/>
        </w:rPr>
      </w:pPr>
      <w:r>
        <w:rPr>
          <w:bCs/>
        </w:rPr>
        <w:lastRenderedPageBreak/>
        <w:t xml:space="preserve">Awardees must comply with the Clinical Terms of Award which are incorporated into the Notice of Grant Award for grants and cooperative agreements that </w:t>
      </w:r>
      <w:r w:rsidRPr="00974029">
        <w:rPr>
          <w:bCs/>
        </w:rPr>
        <w:t>involv</w:t>
      </w:r>
      <w:r>
        <w:rPr>
          <w:bCs/>
        </w:rPr>
        <w:t>e</w:t>
      </w:r>
      <w:r w:rsidRPr="00974029">
        <w:rPr>
          <w:bCs/>
        </w:rPr>
        <w:t xml:space="preserve"> </w:t>
      </w:r>
      <w:hyperlink r:id="rId33" w:history="1">
        <w:r w:rsidRPr="00974029">
          <w:rPr>
            <w:rStyle w:val="Hyperlink"/>
            <w:bCs/>
          </w:rPr>
          <w:t>human subjects</w:t>
        </w:r>
      </w:hyperlink>
      <w:r>
        <w:rPr>
          <w:bCs/>
        </w:rPr>
        <w:t xml:space="preserve"> </w:t>
      </w:r>
      <w:r w:rsidRPr="002537D0">
        <w:rPr>
          <w:bCs/>
        </w:rPr>
        <w:t>and meet the NIH definition of “clinical research.”</w:t>
      </w:r>
      <w:r w:rsidR="00EB5997">
        <w:rPr>
          <w:bCs/>
        </w:rPr>
        <w:t xml:space="preserve">  </w:t>
      </w:r>
    </w:p>
    <w:p w14:paraId="518140DF" w14:textId="77777777" w:rsidR="00974029" w:rsidRDefault="00974029" w:rsidP="00974029">
      <w:pPr>
        <w:pStyle w:val="CROMSText"/>
        <w:rPr>
          <w:bCs/>
        </w:rPr>
      </w:pPr>
      <w:r>
        <w:rPr>
          <w:bCs/>
        </w:rPr>
        <w:t xml:space="preserve">Materials required to meet </w:t>
      </w:r>
      <w:proofErr w:type="spellStart"/>
      <w:r>
        <w:rPr>
          <w:bCs/>
        </w:rPr>
        <w:t>CToA</w:t>
      </w:r>
      <w:proofErr w:type="spellEnd"/>
      <w:r>
        <w:rPr>
          <w:bCs/>
        </w:rPr>
        <w:t xml:space="preserve"> include:</w:t>
      </w:r>
    </w:p>
    <w:p w14:paraId="66A27EEE" w14:textId="77777777" w:rsidR="008C5698" w:rsidRPr="008C5698" w:rsidRDefault="008C5698" w:rsidP="008C5698">
      <w:pPr>
        <w:pStyle w:val="CROMSText"/>
        <w:numPr>
          <w:ilvl w:val="0"/>
          <w:numId w:val="19"/>
        </w:numPr>
        <w:rPr>
          <w:bCs/>
        </w:rPr>
      </w:pPr>
      <w:r w:rsidRPr="008C5698">
        <w:rPr>
          <w:bCs/>
        </w:rPr>
        <w:t>IRB-approved clinical research protocol identified by protocol title, version number</w:t>
      </w:r>
      <w:r w:rsidR="00CC1672">
        <w:rPr>
          <w:bCs/>
        </w:rPr>
        <w:t>,</w:t>
      </w:r>
      <w:r w:rsidRPr="008C5698">
        <w:rPr>
          <w:bCs/>
        </w:rPr>
        <w:t xml:space="preserve"> and date, and including details of study design, proposed interventions, subject eligibility criteria</w:t>
      </w:r>
      <w:r w:rsidR="00CC1672">
        <w:rPr>
          <w:bCs/>
        </w:rPr>
        <w:t>,</w:t>
      </w:r>
      <w:r w:rsidRPr="008C5698">
        <w:rPr>
          <w:bCs/>
        </w:rPr>
        <w:t xml:space="preserve"> and plans for assessing, managing</w:t>
      </w:r>
      <w:r w:rsidR="00CC1672">
        <w:rPr>
          <w:bCs/>
        </w:rPr>
        <w:t>,</w:t>
      </w:r>
      <w:r w:rsidRPr="008C5698">
        <w:rPr>
          <w:bCs/>
        </w:rPr>
        <w:t xml:space="preserve"> and reporting adverse events and unanticipated problems.   </w:t>
      </w:r>
    </w:p>
    <w:p w14:paraId="02EC5B17" w14:textId="77777777" w:rsidR="008C5698" w:rsidRPr="008C5698" w:rsidRDefault="008C5698" w:rsidP="008C5698">
      <w:pPr>
        <w:pStyle w:val="CROMSText"/>
        <w:numPr>
          <w:ilvl w:val="0"/>
          <w:numId w:val="19"/>
        </w:numPr>
        <w:rPr>
          <w:bCs/>
        </w:rPr>
      </w:pPr>
      <w:r w:rsidRPr="008C5698">
        <w:rPr>
          <w:bCs/>
        </w:rPr>
        <w:t>Documentation of IRB approval, citing the version number and date of the documents reviewed and approved.</w:t>
      </w:r>
    </w:p>
    <w:p w14:paraId="406F20AD" w14:textId="77777777" w:rsidR="008C5698" w:rsidRPr="008C5698" w:rsidRDefault="008C5698" w:rsidP="008C5698">
      <w:pPr>
        <w:pStyle w:val="CROMSText"/>
        <w:numPr>
          <w:ilvl w:val="0"/>
          <w:numId w:val="19"/>
        </w:numPr>
        <w:rPr>
          <w:bCs/>
        </w:rPr>
      </w:pPr>
      <w:r w:rsidRPr="008C5698">
        <w:rPr>
          <w:bCs/>
        </w:rPr>
        <w:t xml:space="preserve">IRB approved consent </w:t>
      </w:r>
      <w:r w:rsidR="00C306FB">
        <w:rPr>
          <w:bCs/>
        </w:rPr>
        <w:t>document</w:t>
      </w:r>
      <w:r w:rsidRPr="008C5698">
        <w:rPr>
          <w:bCs/>
        </w:rPr>
        <w:t>, identified by version number, date</w:t>
      </w:r>
      <w:r w:rsidR="00CC1672">
        <w:rPr>
          <w:bCs/>
        </w:rPr>
        <w:t>,</w:t>
      </w:r>
      <w:r w:rsidRPr="008C5698">
        <w:rPr>
          <w:bCs/>
        </w:rPr>
        <w:t xml:space="preserve"> or both. </w:t>
      </w:r>
    </w:p>
    <w:p w14:paraId="024563D9" w14:textId="77777777" w:rsidR="008C5698" w:rsidRPr="008C5698" w:rsidRDefault="008C5698" w:rsidP="008C5698">
      <w:pPr>
        <w:pStyle w:val="CROMSText"/>
        <w:numPr>
          <w:ilvl w:val="0"/>
          <w:numId w:val="19"/>
        </w:numPr>
        <w:rPr>
          <w:bCs/>
        </w:rPr>
      </w:pPr>
      <w:r w:rsidRPr="008C5698">
        <w:rPr>
          <w:bCs/>
        </w:rPr>
        <w:t>Plans for data and safety monitoring.  This might be described in the protocol, be a separate procedural document, or be a charter of a safety oversight committee.</w:t>
      </w:r>
    </w:p>
    <w:p w14:paraId="3B141B87" w14:textId="77777777" w:rsidR="000004DB" w:rsidRPr="00FE2C05" w:rsidRDefault="00FE2C05" w:rsidP="000004DB">
      <w:pPr>
        <w:pStyle w:val="CROMSText"/>
        <w:rPr>
          <w:bCs/>
        </w:rPr>
      </w:pPr>
      <w:r w:rsidRPr="00FE2C05">
        <w:rPr>
          <w:bCs/>
        </w:rPr>
        <w:t xml:space="preserve">See the </w:t>
      </w:r>
      <w:r w:rsidR="008C5698">
        <w:rPr>
          <w:bCs/>
        </w:rPr>
        <w:t>Clinical Terms of Award</w:t>
      </w:r>
      <w:r w:rsidR="008C5698" w:rsidRPr="00FE2C05">
        <w:rPr>
          <w:bCs/>
        </w:rPr>
        <w:t xml:space="preserve"> </w:t>
      </w:r>
      <w:r w:rsidRPr="00FE2C05">
        <w:rPr>
          <w:bCs/>
        </w:rPr>
        <w:t>for detailed specifications of these requirements.</w:t>
      </w:r>
    </w:p>
    <w:p w14:paraId="0D70DD85" w14:textId="77777777" w:rsidR="00FE2C05" w:rsidRDefault="00FE2C05" w:rsidP="000004DB">
      <w:pPr>
        <w:pStyle w:val="CROMSText"/>
        <w:rPr>
          <w:bCs/>
        </w:rPr>
      </w:pPr>
      <w:r w:rsidRPr="00FE2C05">
        <w:rPr>
          <w:bCs/>
        </w:rPr>
        <w:t xml:space="preserve">When </w:t>
      </w:r>
      <w:proofErr w:type="spellStart"/>
      <w:r w:rsidRPr="00FE2C05">
        <w:rPr>
          <w:bCs/>
        </w:rPr>
        <w:t>CToA</w:t>
      </w:r>
      <w:proofErr w:type="spellEnd"/>
      <w:r w:rsidRPr="00FE2C05">
        <w:rPr>
          <w:bCs/>
        </w:rPr>
        <w:t xml:space="preserve"> have been met, the Program</w:t>
      </w:r>
      <w:r>
        <w:rPr>
          <w:bCs/>
        </w:rPr>
        <w:t xml:space="preserve"> Official will </w:t>
      </w:r>
      <w:r w:rsidR="005F5C85">
        <w:rPr>
          <w:bCs/>
        </w:rPr>
        <w:t xml:space="preserve">enter the information into the </w:t>
      </w:r>
      <w:r w:rsidR="00DE5DCD">
        <w:rPr>
          <w:bCs/>
        </w:rPr>
        <w:t xml:space="preserve">electronic </w:t>
      </w:r>
      <w:proofErr w:type="spellStart"/>
      <w:r w:rsidR="005F5C85">
        <w:rPr>
          <w:bCs/>
        </w:rPr>
        <w:t>CToA</w:t>
      </w:r>
      <w:proofErr w:type="spellEnd"/>
      <w:r w:rsidR="005F5C85">
        <w:rPr>
          <w:bCs/>
        </w:rPr>
        <w:t xml:space="preserve"> system.  The system </w:t>
      </w:r>
      <w:r w:rsidR="008C5698">
        <w:rPr>
          <w:bCs/>
        </w:rPr>
        <w:t xml:space="preserve">allows the </w:t>
      </w:r>
      <w:r w:rsidR="004669AC">
        <w:rPr>
          <w:bCs/>
        </w:rPr>
        <w:t>P</w:t>
      </w:r>
      <w:r w:rsidR="008C5698">
        <w:rPr>
          <w:bCs/>
        </w:rPr>
        <w:t xml:space="preserve">rogram </w:t>
      </w:r>
      <w:r w:rsidR="004669AC">
        <w:rPr>
          <w:bCs/>
        </w:rPr>
        <w:t>O</w:t>
      </w:r>
      <w:r w:rsidR="008C5698">
        <w:rPr>
          <w:bCs/>
        </w:rPr>
        <w:t xml:space="preserve">fficial to generate </w:t>
      </w:r>
      <w:r w:rsidR="005F5C85">
        <w:rPr>
          <w:bCs/>
        </w:rPr>
        <w:t xml:space="preserve">an email notification to </w:t>
      </w:r>
      <w:r>
        <w:rPr>
          <w:bCs/>
        </w:rPr>
        <w:t xml:space="preserve">the </w:t>
      </w:r>
      <w:r w:rsidR="008C5698">
        <w:rPr>
          <w:bCs/>
        </w:rPr>
        <w:t xml:space="preserve">NIDCR </w:t>
      </w:r>
      <w:r w:rsidR="005F5C85">
        <w:rPr>
          <w:bCs/>
        </w:rPr>
        <w:t>Grants</w:t>
      </w:r>
      <w:r w:rsidR="008C5698">
        <w:rPr>
          <w:bCs/>
        </w:rPr>
        <w:t xml:space="preserve"> Management Branch</w:t>
      </w:r>
      <w:r>
        <w:rPr>
          <w:bCs/>
        </w:rPr>
        <w:t xml:space="preserve"> </w:t>
      </w:r>
      <w:r w:rsidR="008C5698">
        <w:rPr>
          <w:bCs/>
        </w:rPr>
        <w:t xml:space="preserve">that </w:t>
      </w:r>
      <w:r w:rsidR="00C306FB">
        <w:rPr>
          <w:bCs/>
        </w:rPr>
        <w:t>C</w:t>
      </w:r>
      <w:r w:rsidR="008C5698">
        <w:rPr>
          <w:bCs/>
        </w:rPr>
        <w:t xml:space="preserve">linical </w:t>
      </w:r>
      <w:r w:rsidR="00C306FB">
        <w:rPr>
          <w:bCs/>
        </w:rPr>
        <w:t>T</w:t>
      </w:r>
      <w:r w:rsidR="008C5698">
        <w:rPr>
          <w:bCs/>
        </w:rPr>
        <w:t xml:space="preserve">erms of </w:t>
      </w:r>
      <w:r w:rsidR="00C306FB">
        <w:rPr>
          <w:bCs/>
        </w:rPr>
        <w:t>A</w:t>
      </w:r>
      <w:r w:rsidR="008C5698">
        <w:rPr>
          <w:bCs/>
        </w:rPr>
        <w:t>ward have been met.  Grants Management will notify the institution</w:t>
      </w:r>
      <w:r w:rsidR="00786195">
        <w:rPr>
          <w:bCs/>
        </w:rPr>
        <w:t>’</w:t>
      </w:r>
      <w:r w:rsidR="008C5698">
        <w:rPr>
          <w:bCs/>
        </w:rPr>
        <w:t xml:space="preserve">s business official and principal investigator that funds </w:t>
      </w:r>
      <w:r w:rsidR="008C5698" w:rsidRPr="008C5698">
        <w:rPr>
          <w:bCs/>
        </w:rPr>
        <w:t>may be drawn down from the payment system to support subject enrollment</w:t>
      </w:r>
      <w:r w:rsidR="008C5698">
        <w:rPr>
          <w:bCs/>
        </w:rPr>
        <w:t>.</w:t>
      </w:r>
      <w:r>
        <w:rPr>
          <w:bCs/>
        </w:rPr>
        <w:t xml:space="preserve">  The Program Official will</w:t>
      </w:r>
      <w:r w:rsidR="00650DCF">
        <w:rPr>
          <w:bCs/>
        </w:rPr>
        <w:t xml:space="preserve"> </w:t>
      </w:r>
      <w:r w:rsidR="00011178">
        <w:rPr>
          <w:bCs/>
        </w:rPr>
        <w:t xml:space="preserve">complete </w:t>
      </w:r>
      <w:r w:rsidR="00EE787B">
        <w:rPr>
          <w:bCs/>
        </w:rPr>
        <w:t xml:space="preserve">the Site Activation Checklist (See section </w:t>
      </w:r>
      <w:r w:rsidR="00BA2600">
        <w:rPr>
          <w:bCs/>
        </w:rPr>
        <w:fldChar w:fldCharType="begin"/>
      </w:r>
      <w:r w:rsidR="00650DCF">
        <w:rPr>
          <w:bCs/>
        </w:rPr>
        <w:instrText xml:space="preserve"> REF _Ref311640868 \r \h </w:instrText>
      </w:r>
      <w:r w:rsidR="00BA2600">
        <w:rPr>
          <w:bCs/>
        </w:rPr>
      </w:r>
      <w:r w:rsidR="00BA2600">
        <w:rPr>
          <w:bCs/>
        </w:rPr>
        <w:fldChar w:fldCharType="separate"/>
      </w:r>
      <w:r w:rsidR="00791B9C">
        <w:rPr>
          <w:bCs/>
        </w:rPr>
        <w:t>9.3</w:t>
      </w:r>
      <w:r w:rsidR="00BA2600">
        <w:rPr>
          <w:bCs/>
        </w:rPr>
        <w:fldChar w:fldCharType="end"/>
      </w:r>
      <w:r w:rsidR="0005128F">
        <w:rPr>
          <w:bCs/>
        </w:rPr>
        <w:t xml:space="preserve"> </w:t>
      </w:r>
      <w:r w:rsidR="00EE787B">
        <w:rPr>
          <w:bCs/>
        </w:rPr>
        <w:t>and Appendix A)</w:t>
      </w:r>
      <w:r w:rsidR="00011178">
        <w:rPr>
          <w:bCs/>
        </w:rPr>
        <w:t xml:space="preserve"> when the </w:t>
      </w:r>
      <w:proofErr w:type="spellStart"/>
      <w:r w:rsidR="00011178">
        <w:rPr>
          <w:bCs/>
        </w:rPr>
        <w:t>CToA</w:t>
      </w:r>
      <w:proofErr w:type="spellEnd"/>
      <w:r w:rsidR="00011178">
        <w:rPr>
          <w:bCs/>
        </w:rPr>
        <w:t xml:space="preserve"> have been met.</w:t>
      </w:r>
      <w:r w:rsidR="005F5C85">
        <w:rPr>
          <w:bCs/>
        </w:rPr>
        <w:t xml:space="preserve">  </w:t>
      </w:r>
    </w:p>
    <w:p w14:paraId="3DEEE8C5" w14:textId="77777777" w:rsidR="005F5C85" w:rsidRDefault="00C771AE" w:rsidP="00CA5F34">
      <w:pPr>
        <w:pStyle w:val="Heading2"/>
      </w:pPr>
      <w:bookmarkStart w:id="63" w:name="_Toc275225451"/>
      <w:bookmarkStart w:id="64" w:name="_Ref311640868"/>
      <w:bookmarkStart w:id="65" w:name="_Toc375231225"/>
      <w:r>
        <w:t>Site Activation</w:t>
      </w:r>
      <w:bookmarkEnd w:id="63"/>
      <w:bookmarkEnd w:id="64"/>
      <w:bookmarkEnd w:id="65"/>
    </w:p>
    <w:p w14:paraId="1164A2EA" w14:textId="77777777" w:rsidR="000004DB" w:rsidRDefault="005F5C85" w:rsidP="000004DB">
      <w:pPr>
        <w:pStyle w:val="CROMSText"/>
        <w:rPr>
          <w:bCs/>
        </w:rPr>
      </w:pPr>
      <w:r>
        <w:rPr>
          <w:bCs/>
        </w:rPr>
        <w:t>A site can</w:t>
      </w:r>
      <w:r w:rsidR="00BA37D5" w:rsidRPr="00BA37D5">
        <w:rPr>
          <w:bCs/>
        </w:rPr>
        <w:t xml:space="preserve"> be activated </w:t>
      </w:r>
      <w:r>
        <w:rPr>
          <w:bCs/>
        </w:rPr>
        <w:t xml:space="preserve">only </w:t>
      </w:r>
      <w:r w:rsidR="00974029">
        <w:rPr>
          <w:bCs/>
        </w:rPr>
        <w:t>after</w:t>
      </w:r>
      <w:r w:rsidR="00BA37D5" w:rsidRPr="00BA37D5">
        <w:rPr>
          <w:bCs/>
        </w:rPr>
        <w:t xml:space="preserve"> it has met </w:t>
      </w:r>
      <w:proofErr w:type="spellStart"/>
      <w:r w:rsidR="000004DB">
        <w:rPr>
          <w:bCs/>
        </w:rPr>
        <w:t>CToA</w:t>
      </w:r>
      <w:proofErr w:type="spellEnd"/>
      <w:r w:rsidR="00BA37D5">
        <w:rPr>
          <w:bCs/>
        </w:rPr>
        <w:t>.  See Appendix A fo</w:t>
      </w:r>
      <w:r w:rsidR="000004DB">
        <w:rPr>
          <w:bCs/>
        </w:rPr>
        <w:t xml:space="preserve">r the </w:t>
      </w:r>
      <w:r w:rsidR="000004DB" w:rsidRPr="003E7341">
        <w:rPr>
          <w:bCs/>
        </w:rPr>
        <w:t>Site Activation Checklist</w:t>
      </w:r>
      <w:r w:rsidR="000004DB">
        <w:rPr>
          <w:bCs/>
        </w:rPr>
        <w:t xml:space="preserve">.  This checklist will be </w:t>
      </w:r>
      <w:r w:rsidR="00AD6538">
        <w:rPr>
          <w:bCs/>
        </w:rPr>
        <w:t>prepared</w:t>
      </w:r>
      <w:r w:rsidR="000004DB">
        <w:rPr>
          <w:bCs/>
        </w:rPr>
        <w:t xml:space="preserve"> by CROMS</w:t>
      </w:r>
      <w:r w:rsidR="00EE787B">
        <w:rPr>
          <w:bCs/>
        </w:rPr>
        <w:t xml:space="preserve"> with the Program Official</w:t>
      </w:r>
      <w:r w:rsidR="000004DB">
        <w:rPr>
          <w:bCs/>
        </w:rPr>
        <w:t xml:space="preserve">, </w:t>
      </w:r>
      <w:r w:rsidR="00AD6538">
        <w:rPr>
          <w:bCs/>
        </w:rPr>
        <w:t xml:space="preserve">and used by </w:t>
      </w:r>
      <w:r w:rsidR="00B378D2">
        <w:rPr>
          <w:bCs/>
        </w:rPr>
        <w:t>the Program Official</w:t>
      </w:r>
      <w:r w:rsidR="000004DB">
        <w:rPr>
          <w:bCs/>
        </w:rPr>
        <w:t xml:space="preserve"> to </w:t>
      </w:r>
      <w:r w:rsidR="00AE3D94">
        <w:rPr>
          <w:bCs/>
        </w:rPr>
        <w:t>d</w:t>
      </w:r>
      <w:r w:rsidR="00AD6538">
        <w:rPr>
          <w:bCs/>
        </w:rPr>
        <w:t>etermine</w:t>
      </w:r>
      <w:r w:rsidR="00AE3D94">
        <w:rPr>
          <w:bCs/>
        </w:rPr>
        <w:t xml:space="preserve"> when</w:t>
      </w:r>
      <w:r w:rsidR="000004DB">
        <w:rPr>
          <w:bCs/>
        </w:rPr>
        <w:t xml:space="preserve"> </w:t>
      </w:r>
      <w:r>
        <w:rPr>
          <w:bCs/>
        </w:rPr>
        <w:t>all additional requirements have been met for site activation</w:t>
      </w:r>
      <w:r w:rsidR="000004DB">
        <w:rPr>
          <w:bCs/>
        </w:rPr>
        <w:t xml:space="preserve">.  When </w:t>
      </w:r>
      <w:r>
        <w:rPr>
          <w:bCs/>
        </w:rPr>
        <w:t>all of these addit</w:t>
      </w:r>
      <w:r w:rsidR="00DE5DCD">
        <w:rPr>
          <w:bCs/>
        </w:rPr>
        <w:t>ional requirement</w:t>
      </w:r>
      <w:r w:rsidR="002133F2">
        <w:rPr>
          <w:bCs/>
        </w:rPr>
        <w:t>s</w:t>
      </w:r>
      <w:r w:rsidR="00DE5DCD">
        <w:rPr>
          <w:bCs/>
        </w:rPr>
        <w:t xml:space="preserve"> have been met, </w:t>
      </w:r>
      <w:r>
        <w:rPr>
          <w:bCs/>
        </w:rPr>
        <w:t xml:space="preserve">CROMS will </w:t>
      </w:r>
      <w:r w:rsidR="00B378D2">
        <w:rPr>
          <w:bCs/>
        </w:rPr>
        <w:t>send the completed</w:t>
      </w:r>
      <w:r>
        <w:rPr>
          <w:bCs/>
        </w:rPr>
        <w:t xml:space="preserve"> checklist </w:t>
      </w:r>
      <w:r w:rsidR="00B378D2">
        <w:rPr>
          <w:bCs/>
        </w:rPr>
        <w:t xml:space="preserve">to </w:t>
      </w:r>
      <w:r w:rsidR="00011178">
        <w:rPr>
          <w:bCs/>
        </w:rPr>
        <w:t>OCTOM for review. If all components of the Checkl</w:t>
      </w:r>
      <w:r w:rsidR="00650DCF">
        <w:rPr>
          <w:bCs/>
        </w:rPr>
        <w:t>i</w:t>
      </w:r>
      <w:r w:rsidR="00011178">
        <w:rPr>
          <w:bCs/>
        </w:rPr>
        <w:t xml:space="preserve">st are complete, </w:t>
      </w:r>
      <w:r w:rsidR="00011178">
        <w:rPr>
          <w:bCs/>
        </w:rPr>
        <w:lastRenderedPageBreak/>
        <w:t xml:space="preserve">OCTOM will sign the form and recommend to the </w:t>
      </w:r>
      <w:r w:rsidR="00B378D2">
        <w:rPr>
          <w:bCs/>
        </w:rPr>
        <w:t xml:space="preserve">Program Official </w:t>
      </w:r>
      <w:r w:rsidR="00011178">
        <w:rPr>
          <w:bCs/>
        </w:rPr>
        <w:t>that the site may be activated.</w:t>
      </w:r>
      <w:r w:rsidR="002133F2">
        <w:rPr>
          <w:bCs/>
        </w:rPr>
        <w:t xml:space="preserve"> The Program Official will </w:t>
      </w:r>
      <w:r w:rsidR="00011178">
        <w:rPr>
          <w:bCs/>
        </w:rPr>
        <w:t xml:space="preserve">verify that </w:t>
      </w:r>
      <w:proofErr w:type="spellStart"/>
      <w:r w:rsidR="00011178">
        <w:rPr>
          <w:bCs/>
        </w:rPr>
        <w:t>CToA</w:t>
      </w:r>
      <w:proofErr w:type="spellEnd"/>
      <w:r w:rsidR="00011178">
        <w:rPr>
          <w:bCs/>
        </w:rPr>
        <w:t xml:space="preserve"> have been met and will approve the site for activation by signing the Checklist.  The Program Official will </w:t>
      </w:r>
      <w:r w:rsidR="002133F2">
        <w:rPr>
          <w:bCs/>
        </w:rPr>
        <w:t xml:space="preserve">send a Site Activation </w:t>
      </w:r>
      <w:r w:rsidR="00D61AE9">
        <w:rPr>
          <w:bCs/>
        </w:rPr>
        <w:t xml:space="preserve">Notification </w:t>
      </w:r>
      <w:r w:rsidR="002133F2">
        <w:rPr>
          <w:bCs/>
        </w:rPr>
        <w:t xml:space="preserve">letter </w:t>
      </w:r>
      <w:r w:rsidR="00954DA3">
        <w:rPr>
          <w:bCs/>
        </w:rPr>
        <w:t xml:space="preserve">(see Appendix C) </w:t>
      </w:r>
      <w:r w:rsidR="002133F2">
        <w:rPr>
          <w:bCs/>
        </w:rPr>
        <w:t xml:space="preserve">to the </w:t>
      </w:r>
      <w:r w:rsidR="00B23CFA">
        <w:rPr>
          <w:bCs/>
        </w:rPr>
        <w:t>site PI</w:t>
      </w:r>
      <w:r w:rsidR="002133F2">
        <w:rPr>
          <w:bCs/>
        </w:rPr>
        <w:t xml:space="preserve"> and will provide a copy </w:t>
      </w:r>
      <w:r w:rsidR="00011178">
        <w:rPr>
          <w:bCs/>
        </w:rPr>
        <w:t xml:space="preserve">of the memo and Checklist </w:t>
      </w:r>
      <w:r w:rsidR="002133F2">
        <w:rPr>
          <w:bCs/>
        </w:rPr>
        <w:t>to CROMS</w:t>
      </w:r>
      <w:r w:rsidR="00B378D2">
        <w:rPr>
          <w:bCs/>
        </w:rPr>
        <w:t xml:space="preserve"> for the study file</w:t>
      </w:r>
      <w:r w:rsidR="002133F2">
        <w:rPr>
          <w:bCs/>
        </w:rPr>
        <w:t xml:space="preserve">. </w:t>
      </w:r>
    </w:p>
    <w:p w14:paraId="5CCA9A36" w14:textId="77777777" w:rsidR="002133F2" w:rsidRPr="002133F2" w:rsidRDefault="00873D5E" w:rsidP="002133F2">
      <w:pPr>
        <w:pStyle w:val="CROMSText"/>
      </w:pPr>
      <w:r>
        <w:t xml:space="preserve">For studies that involve a </w:t>
      </w:r>
      <w:r w:rsidR="005B0167" w:rsidRPr="005B0167">
        <w:t>study product</w:t>
      </w:r>
      <w:r>
        <w:t xml:space="preserve">, a process must be established to ensure that the product is not released for use in the </w:t>
      </w:r>
      <w:r w:rsidR="009A0E5E">
        <w:t>study</w:t>
      </w:r>
      <w:r>
        <w:t xml:space="preserve"> until the site has been approved for activation.</w:t>
      </w:r>
    </w:p>
    <w:p w14:paraId="638AF417" w14:textId="77777777" w:rsidR="002133F2" w:rsidRDefault="002133F2">
      <w:pPr>
        <w:spacing w:after="0" w:line="240" w:lineRule="auto"/>
        <w:rPr>
          <w:rFonts w:ascii="Arial" w:hAnsi="Arial"/>
          <w:bCs/>
        </w:rPr>
      </w:pPr>
    </w:p>
    <w:p w14:paraId="64C2F477" w14:textId="77777777" w:rsidR="00C07017" w:rsidRDefault="00091873" w:rsidP="00CA5F34">
      <w:pPr>
        <w:pStyle w:val="Heading1"/>
      </w:pPr>
      <w:bookmarkStart w:id="66" w:name="_Toc375231226"/>
      <w:r>
        <w:t>APPENDICES</w:t>
      </w:r>
      <w:bookmarkEnd w:id="66"/>
    </w:p>
    <w:p w14:paraId="26295877" w14:textId="77777777" w:rsidR="00621827" w:rsidRPr="005F5EAA" w:rsidRDefault="00C07017" w:rsidP="00ED1A40">
      <w:pPr>
        <w:pStyle w:val="Title"/>
        <w:spacing w:before="60" w:after="60"/>
        <w:rPr>
          <w:rFonts w:ascii="Calibri" w:hAnsi="Calibri"/>
          <w:sz w:val="24"/>
          <w:szCs w:val="24"/>
        </w:rPr>
      </w:pPr>
      <w:r>
        <w:rPr>
          <w:sz w:val="24"/>
          <w:szCs w:val="24"/>
        </w:rPr>
        <w:br w:type="page"/>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1"/>
        <w:gridCol w:w="1768"/>
        <w:gridCol w:w="3063"/>
        <w:gridCol w:w="768"/>
        <w:gridCol w:w="174"/>
        <w:gridCol w:w="882"/>
        <w:gridCol w:w="1818"/>
      </w:tblGrid>
      <w:tr w:rsidR="00B748E9" w:rsidRPr="004D1F45" w14:paraId="1B2E798E" w14:textId="77777777" w:rsidTr="00B748E9">
        <w:trPr>
          <w:trHeight w:val="20"/>
          <w:tblHeader/>
          <w:jc w:val="center"/>
        </w:trPr>
        <w:tc>
          <w:tcPr>
            <w:tcW w:w="9804" w:type="dxa"/>
            <w:gridSpan w:val="7"/>
            <w:tcBorders>
              <w:top w:val="nil"/>
              <w:left w:val="nil"/>
              <w:bottom w:val="nil"/>
              <w:right w:val="nil"/>
            </w:tcBorders>
            <w:shd w:val="clear" w:color="auto" w:fill="auto"/>
          </w:tcPr>
          <w:p w14:paraId="1B33A1E7" w14:textId="77777777" w:rsidR="00B748E9" w:rsidRDefault="00B748E9" w:rsidP="00B748E9">
            <w:pPr>
              <w:pStyle w:val="Title"/>
              <w:spacing w:before="60" w:after="60"/>
              <w:rPr>
                <w:rFonts w:ascii="Calibri" w:hAnsi="Calibri"/>
                <w:sz w:val="24"/>
                <w:szCs w:val="24"/>
              </w:rPr>
            </w:pPr>
            <w:r>
              <w:rPr>
                <w:rFonts w:ascii="Calibri" w:hAnsi="Calibri"/>
                <w:sz w:val="24"/>
                <w:szCs w:val="24"/>
              </w:rPr>
              <w:lastRenderedPageBreak/>
              <w:t>APPENDIX A:  Protocol &lt;#&gt; EXTRAMURAL SITE ACTIVATION CHECKLIST</w:t>
            </w:r>
          </w:p>
          <w:p w14:paraId="26D6D823" w14:textId="77777777" w:rsidR="00B748E9" w:rsidRPr="00C90C17" w:rsidRDefault="00B748E9" w:rsidP="00B748E9">
            <w:pPr>
              <w:pStyle w:val="Title"/>
              <w:spacing w:before="60" w:after="60"/>
              <w:rPr>
                <w:rFonts w:ascii="Calibri" w:hAnsi="Calibri"/>
                <w:b w:val="0"/>
                <w:sz w:val="24"/>
              </w:rPr>
            </w:pPr>
          </w:p>
        </w:tc>
      </w:tr>
      <w:tr w:rsidR="00B748E9" w:rsidRPr="004D1F45" w14:paraId="178AD021" w14:textId="77777777" w:rsidTr="00B748E9">
        <w:trPr>
          <w:trHeight w:val="20"/>
          <w:tblHeader/>
          <w:jc w:val="center"/>
        </w:trPr>
        <w:tc>
          <w:tcPr>
            <w:tcW w:w="9804" w:type="dxa"/>
            <w:gridSpan w:val="7"/>
            <w:tcBorders>
              <w:top w:val="nil"/>
              <w:left w:val="nil"/>
              <w:bottom w:val="nil"/>
              <w:right w:val="nil"/>
            </w:tcBorders>
            <w:shd w:val="clear" w:color="auto" w:fill="auto"/>
          </w:tcPr>
          <w:p w14:paraId="60F9F0F6" w14:textId="77777777" w:rsidR="00B748E9" w:rsidRPr="005F5EAA" w:rsidRDefault="00B748E9" w:rsidP="00B748E9">
            <w:pPr>
              <w:pStyle w:val="Title"/>
              <w:spacing w:before="60" w:after="60"/>
              <w:rPr>
                <w:rFonts w:ascii="Calibri" w:hAnsi="Calibri"/>
                <w:sz w:val="24"/>
                <w:szCs w:val="24"/>
              </w:rPr>
            </w:pPr>
            <w:r>
              <w:rPr>
                <w:rFonts w:ascii="Calibri" w:hAnsi="Calibri" w:cs="Arial"/>
                <w:caps/>
                <w:sz w:val="24"/>
                <w:szCs w:val="24"/>
              </w:rPr>
              <w:t>&lt;Protocol title&gt;</w:t>
            </w:r>
          </w:p>
          <w:p w14:paraId="6F9DE5EE" w14:textId="77777777" w:rsidR="00B748E9" w:rsidRDefault="00B748E9" w:rsidP="00B748E9">
            <w:pPr>
              <w:pStyle w:val="Title"/>
              <w:spacing w:before="60" w:after="60"/>
              <w:rPr>
                <w:rFonts w:ascii="Calibri" w:hAnsi="Calibri"/>
                <w:sz w:val="24"/>
                <w:szCs w:val="24"/>
              </w:rPr>
            </w:pPr>
          </w:p>
        </w:tc>
      </w:tr>
      <w:tr w:rsidR="00B748E9" w:rsidRPr="004D1F45" w14:paraId="12E2C12B" w14:textId="77777777" w:rsidTr="008B2965">
        <w:trPr>
          <w:trHeight w:val="20"/>
          <w:tblHeader/>
          <w:jc w:val="center"/>
        </w:trPr>
        <w:tc>
          <w:tcPr>
            <w:tcW w:w="1331" w:type="dxa"/>
            <w:tcBorders>
              <w:top w:val="nil"/>
              <w:left w:val="nil"/>
              <w:bottom w:val="nil"/>
              <w:right w:val="nil"/>
            </w:tcBorders>
            <w:shd w:val="clear" w:color="auto" w:fill="auto"/>
          </w:tcPr>
          <w:p w14:paraId="435F2E6C" w14:textId="77777777" w:rsidR="00B748E9" w:rsidRPr="00C90C17" w:rsidRDefault="00B748E9" w:rsidP="00B748E9">
            <w:pPr>
              <w:pStyle w:val="Subtitle"/>
              <w:tabs>
                <w:tab w:val="clear" w:pos="-720"/>
                <w:tab w:val="clear" w:pos="0"/>
                <w:tab w:val="clear" w:pos="720"/>
                <w:tab w:val="clear" w:pos="1440"/>
                <w:tab w:val="clear" w:pos="2340"/>
                <w:tab w:val="clear" w:pos="2880"/>
                <w:tab w:val="clear" w:pos="3600"/>
                <w:tab w:val="clear" w:pos="4320"/>
                <w:tab w:val="clear" w:pos="5040"/>
                <w:tab w:val="clear" w:pos="5760"/>
                <w:tab w:val="clear" w:pos="6480"/>
                <w:tab w:val="clear" w:pos="7200"/>
                <w:tab w:val="clear" w:pos="7920"/>
                <w:tab w:val="clear" w:pos="8640"/>
                <w:tab w:val="clear" w:pos="9360"/>
              </w:tabs>
              <w:spacing w:before="60" w:after="200" w:line="240" w:lineRule="auto"/>
              <w:ind w:right="0"/>
              <w:rPr>
                <w:rFonts w:ascii="Calibri" w:hAnsi="Calibri"/>
                <w:sz w:val="24"/>
              </w:rPr>
            </w:pPr>
            <w:r w:rsidRPr="00C90C17">
              <w:rPr>
                <w:rFonts w:ascii="Calibri" w:hAnsi="Calibri"/>
                <w:sz w:val="24"/>
              </w:rPr>
              <w:t>Site Name:</w:t>
            </w:r>
          </w:p>
        </w:tc>
        <w:tc>
          <w:tcPr>
            <w:tcW w:w="5773" w:type="dxa"/>
            <w:gridSpan w:val="4"/>
            <w:tcBorders>
              <w:top w:val="nil"/>
              <w:left w:val="nil"/>
              <w:bottom w:val="nil"/>
              <w:right w:val="nil"/>
            </w:tcBorders>
            <w:shd w:val="clear" w:color="auto" w:fill="auto"/>
          </w:tcPr>
          <w:p w14:paraId="3584B40F" w14:textId="77777777" w:rsidR="00B748E9" w:rsidRPr="00C90C17" w:rsidRDefault="00B748E9" w:rsidP="00B748E9">
            <w:pPr>
              <w:pStyle w:val="Subtitle"/>
              <w:tabs>
                <w:tab w:val="clear" w:pos="-720"/>
                <w:tab w:val="clear" w:pos="0"/>
                <w:tab w:val="clear" w:pos="720"/>
                <w:tab w:val="clear" w:pos="1440"/>
                <w:tab w:val="clear" w:pos="2340"/>
                <w:tab w:val="clear" w:pos="2880"/>
                <w:tab w:val="clear" w:pos="3600"/>
                <w:tab w:val="clear" w:pos="4320"/>
                <w:tab w:val="clear" w:pos="5040"/>
                <w:tab w:val="clear" w:pos="5760"/>
                <w:tab w:val="clear" w:pos="6480"/>
                <w:tab w:val="clear" w:pos="7200"/>
                <w:tab w:val="clear" w:pos="7920"/>
                <w:tab w:val="clear" w:pos="8640"/>
                <w:tab w:val="clear" w:pos="9360"/>
              </w:tabs>
              <w:spacing w:before="60" w:after="200" w:line="240" w:lineRule="auto"/>
              <w:ind w:right="0"/>
              <w:rPr>
                <w:rFonts w:ascii="Calibri" w:hAnsi="Calibri"/>
                <w:b w:val="0"/>
                <w:sz w:val="24"/>
              </w:rPr>
            </w:pPr>
          </w:p>
        </w:tc>
        <w:tc>
          <w:tcPr>
            <w:tcW w:w="882" w:type="dxa"/>
            <w:tcBorders>
              <w:top w:val="nil"/>
              <w:left w:val="nil"/>
              <w:bottom w:val="nil"/>
              <w:right w:val="nil"/>
            </w:tcBorders>
            <w:shd w:val="clear" w:color="auto" w:fill="auto"/>
          </w:tcPr>
          <w:p w14:paraId="3EFC8096" w14:textId="77777777" w:rsidR="00B748E9" w:rsidRPr="00C90C17" w:rsidRDefault="00B748E9" w:rsidP="00B748E9">
            <w:pPr>
              <w:pStyle w:val="Subtitle"/>
              <w:tabs>
                <w:tab w:val="clear" w:pos="-720"/>
                <w:tab w:val="clear" w:pos="0"/>
                <w:tab w:val="clear" w:pos="720"/>
                <w:tab w:val="clear" w:pos="1440"/>
                <w:tab w:val="clear" w:pos="2340"/>
                <w:tab w:val="clear" w:pos="2880"/>
                <w:tab w:val="clear" w:pos="3600"/>
                <w:tab w:val="clear" w:pos="4320"/>
                <w:tab w:val="clear" w:pos="5040"/>
                <w:tab w:val="clear" w:pos="5760"/>
                <w:tab w:val="clear" w:pos="6480"/>
                <w:tab w:val="clear" w:pos="7200"/>
                <w:tab w:val="clear" w:pos="7920"/>
                <w:tab w:val="clear" w:pos="8640"/>
                <w:tab w:val="clear" w:pos="9360"/>
              </w:tabs>
              <w:spacing w:before="60" w:after="200" w:line="240" w:lineRule="auto"/>
              <w:ind w:right="0"/>
              <w:rPr>
                <w:rFonts w:ascii="Calibri" w:hAnsi="Calibri"/>
                <w:sz w:val="24"/>
              </w:rPr>
            </w:pPr>
            <w:r w:rsidRPr="00C90C17">
              <w:rPr>
                <w:rFonts w:ascii="Calibri" w:hAnsi="Calibri"/>
                <w:sz w:val="24"/>
              </w:rPr>
              <w:t>Site #:</w:t>
            </w:r>
          </w:p>
        </w:tc>
        <w:tc>
          <w:tcPr>
            <w:tcW w:w="1818" w:type="dxa"/>
            <w:tcBorders>
              <w:top w:val="nil"/>
              <w:left w:val="nil"/>
              <w:bottom w:val="nil"/>
              <w:right w:val="nil"/>
            </w:tcBorders>
            <w:shd w:val="clear" w:color="auto" w:fill="auto"/>
          </w:tcPr>
          <w:p w14:paraId="77DDCBDC" w14:textId="77777777" w:rsidR="00B748E9" w:rsidRPr="00C90C17" w:rsidRDefault="00B748E9" w:rsidP="0044150E">
            <w:pPr>
              <w:pStyle w:val="Subtitle"/>
              <w:tabs>
                <w:tab w:val="clear" w:pos="-720"/>
                <w:tab w:val="clear" w:pos="0"/>
                <w:tab w:val="clear" w:pos="720"/>
                <w:tab w:val="clear" w:pos="1440"/>
                <w:tab w:val="clear" w:pos="2340"/>
                <w:tab w:val="clear" w:pos="2880"/>
                <w:tab w:val="clear" w:pos="3600"/>
                <w:tab w:val="clear" w:pos="4320"/>
                <w:tab w:val="clear" w:pos="5040"/>
                <w:tab w:val="clear" w:pos="5760"/>
                <w:tab w:val="clear" w:pos="6480"/>
                <w:tab w:val="clear" w:pos="7200"/>
                <w:tab w:val="clear" w:pos="7920"/>
                <w:tab w:val="clear" w:pos="8640"/>
                <w:tab w:val="clear" w:pos="9360"/>
              </w:tabs>
              <w:spacing w:before="60" w:after="200" w:line="240" w:lineRule="auto"/>
              <w:ind w:right="0"/>
              <w:rPr>
                <w:rFonts w:ascii="Calibri" w:hAnsi="Calibri"/>
                <w:b w:val="0"/>
                <w:sz w:val="24"/>
              </w:rPr>
            </w:pPr>
          </w:p>
        </w:tc>
      </w:tr>
      <w:tr w:rsidR="00B748E9" w:rsidRPr="004D1F45" w14:paraId="6B443449" w14:textId="77777777" w:rsidTr="00B748E9">
        <w:trPr>
          <w:trHeight w:val="20"/>
          <w:tblHeader/>
          <w:jc w:val="center"/>
        </w:trPr>
        <w:tc>
          <w:tcPr>
            <w:tcW w:w="3099" w:type="dxa"/>
            <w:gridSpan w:val="2"/>
            <w:tcBorders>
              <w:top w:val="nil"/>
              <w:left w:val="nil"/>
              <w:right w:val="nil"/>
            </w:tcBorders>
            <w:shd w:val="clear" w:color="auto" w:fill="auto"/>
          </w:tcPr>
          <w:p w14:paraId="2019470B" w14:textId="77777777" w:rsidR="00B748E9" w:rsidRPr="00C90C17" w:rsidRDefault="00B748E9" w:rsidP="0044150E">
            <w:pPr>
              <w:pStyle w:val="Subtitle"/>
              <w:tabs>
                <w:tab w:val="clear" w:pos="-720"/>
                <w:tab w:val="clear" w:pos="0"/>
                <w:tab w:val="clear" w:pos="720"/>
                <w:tab w:val="clear" w:pos="1440"/>
                <w:tab w:val="clear" w:pos="2340"/>
                <w:tab w:val="clear" w:pos="2880"/>
                <w:tab w:val="clear" w:pos="3600"/>
                <w:tab w:val="clear" w:pos="4320"/>
                <w:tab w:val="clear" w:pos="5040"/>
                <w:tab w:val="clear" w:pos="5760"/>
                <w:tab w:val="clear" w:pos="6480"/>
                <w:tab w:val="clear" w:pos="7200"/>
                <w:tab w:val="clear" w:pos="7920"/>
                <w:tab w:val="clear" w:pos="8640"/>
                <w:tab w:val="clear" w:pos="9360"/>
              </w:tabs>
              <w:spacing w:before="60" w:after="200" w:line="240" w:lineRule="auto"/>
              <w:ind w:right="0"/>
              <w:rPr>
                <w:rFonts w:ascii="Calibri" w:hAnsi="Calibri"/>
                <w:sz w:val="24"/>
              </w:rPr>
            </w:pPr>
            <w:r w:rsidRPr="00C90C17">
              <w:rPr>
                <w:rFonts w:ascii="Calibri" w:hAnsi="Calibri"/>
                <w:sz w:val="24"/>
              </w:rPr>
              <w:t>Protocol Version and Date:</w:t>
            </w:r>
          </w:p>
        </w:tc>
        <w:tc>
          <w:tcPr>
            <w:tcW w:w="6705" w:type="dxa"/>
            <w:gridSpan w:val="5"/>
            <w:tcBorders>
              <w:top w:val="nil"/>
              <w:left w:val="nil"/>
              <w:right w:val="nil"/>
            </w:tcBorders>
            <w:shd w:val="clear" w:color="auto" w:fill="auto"/>
          </w:tcPr>
          <w:p w14:paraId="04C74239" w14:textId="77777777" w:rsidR="00B748E9" w:rsidRPr="00C90C17" w:rsidRDefault="00B748E9" w:rsidP="0044150E">
            <w:pPr>
              <w:pStyle w:val="Subtitle"/>
              <w:tabs>
                <w:tab w:val="clear" w:pos="-720"/>
                <w:tab w:val="clear" w:pos="0"/>
                <w:tab w:val="clear" w:pos="720"/>
                <w:tab w:val="clear" w:pos="1440"/>
                <w:tab w:val="clear" w:pos="2340"/>
                <w:tab w:val="clear" w:pos="2880"/>
                <w:tab w:val="clear" w:pos="3600"/>
                <w:tab w:val="clear" w:pos="4320"/>
                <w:tab w:val="clear" w:pos="5040"/>
                <w:tab w:val="clear" w:pos="5760"/>
                <w:tab w:val="clear" w:pos="6480"/>
                <w:tab w:val="clear" w:pos="7200"/>
                <w:tab w:val="clear" w:pos="7920"/>
                <w:tab w:val="clear" w:pos="8640"/>
                <w:tab w:val="clear" w:pos="9360"/>
              </w:tabs>
              <w:spacing w:before="60" w:after="200" w:line="240" w:lineRule="auto"/>
              <w:ind w:right="0"/>
              <w:rPr>
                <w:rFonts w:ascii="Calibri" w:hAnsi="Calibri"/>
                <w:b w:val="0"/>
                <w:sz w:val="24"/>
              </w:rPr>
            </w:pPr>
          </w:p>
        </w:tc>
      </w:tr>
      <w:tr w:rsidR="00B748E9" w:rsidRPr="004D1F45" w14:paraId="11A981B8" w14:textId="77777777" w:rsidTr="008B2965">
        <w:trPr>
          <w:trHeight w:val="260"/>
          <w:jc w:val="center"/>
        </w:trPr>
        <w:tc>
          <w:tcPr>
            <w:tcW w:w="7986" w:type="dxa"/>
            <w:gridSpan w:val="6"/>
            <w:tcBorders>
              <w:top w:val="single" w:sz="4" w:space="0" w:color="auto"/>
            </w:tcBorders>
            <w:shd w:val="clear" w:color="auto" w:fill="C0C0C0"/>
          </w:tcPr>
          <w:p w14:paraId="3296BB79" w14:textId="77777777" w:rsidR="00B748E9" w:rsidRPr="00C90C17" w:rsidRDefault="00B748E9" w:rsidP="000A775C">
            <w:pPr>
              <w:pStyle w:val="Subtitle"/>
              <w:tabs>
                <w:tab w:val="clear" w:pos="-720"/>
                <w:tab w:val="clear" w:pos="0"/>
                <w:tab w:val="clear" w:pos="720"/>
                <w:tab w:val="clear" w:pos="1440"/>
                <w:tab w:val="clear" w:pos="234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right="0"/>
              <w:rPr>
                <w:rFonts w:ascii="Calibri" w:hAnsi="Calibri"/>
                <w:sz w:val="24"/>
              </w:rPr>
            </w:pPr>
            <w:r w:rsidRPr="00C90C17">
              <w:rPr>
                <w:rFonts w:ascii="Calibri" w:hAnsi="Calibri"/>
                <w:sz w:val="24"/>
              </w:rPr>
              <w:t>Item</w:t>
            </w:r>
          </w:p>
        </w:tc>
        <w:tc>
          <w:tcPr>
            <w:tcW w:w="1818" w:type="dxa"/>
            <w:tcBorders>
              <w:top w:val="single" w:sz="4" w:space="0" w:color="auto"/>
            </w:tcBorders>
            <w:shd w:val="clear" w:color="auto" w:fill="C0C0C0"/>
          </w:tcPr>
          <w:p w14:paraId="5BA2DA9C" w14:textId="77777777" w:rsidR="00B748E9" w:rsidRPr="00C90C17" w:rsidRDefault="00B748E9" w:rsidP="000A775C">
            <w:pPr>
              <w:pStyle w:val="Subtitle"/>
              <w:tabs>
                <w:tab w:val="clear" w:pos="-720"/>
                <w:tab w:val="clear" w:pos="0"/>
                <w:tab w:val="clear" w:pos="720"/>
                <w:tab w:val="clear" w:pos="1440"/>
                <w:tab w:val="clear" w:pos="234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right="0"/>
              <w:rPr>
                <w:rFonts w:ascii="Calibri" w:hAnsi="Calibri"/>
                <w:sz w:val="24"/>
              </w:rPr>
            </w:pPr>
            <w:r w:rsidRPr="00C90C17">
              <w:rPr>
                <w:rFonts w:ascii="Calibri" w:hAnsi="Calibri"/>
                <w:sz w:val="24"/>
              </w:rPr>
              <w:t>Date</w:t>
            </w:r>
          </w:p>
        </w:tc>
      </w:tr>
      <w:tr w:rsidR="00B748E9" w:rsidRPr="006711EF" w14:paraId="44985B8B" w14:textId="77777777" w:rsidTr="008B2965">
        <w:trPr>
          <w:jc w:val="center"/>
        </w:trPr>
        <w:tc>
          <w:tcPr>
            <w:tcW w:w="7986" w:type="dxa"/>
            <w:gridSpan w:val="6"/>
          </w:tcPr>
          <w:p w14:paraId="2EE22AAA" w14:textId="77777777" w:rsidR="00B748E9" w:rsidRPr="006711EF" w:rsidRDefault="00B748E9" w:rsidP="00022DA6">
            <w:pPr>
              <w:numPr>
                <w:ilvl w:val="0"/>
                <w:numId w:val="3"/>
              </w:numPr>
              <w:tabs>
                <w:tab w:val="clear" w:pos="720"/>
              </w:tabs>
              <w:spacing w:before="120" w:after="120" w:line="240" w:lineRule="auto"/>
              <w:ind w:left="260" w:hanging="274"/>
            </w:pPr>
            <w:r w:rsidRPr="006711EF">
              <w:t xml:space="preserve">IRB Approval </w:t>
            </w:r>
            <w:r w:rsidR="00022DA6">
              <w:t xml:space="preserve">Received for Protocol, </w:t>
            </w:r>
            <w:r>
              <w:t>Consent Form</w:t>
            </w:r>
            <w:r w:rsidR="00022DA6">
              <w:t>,</w:t>
            </w:r>
            <w:r>
              <w:t xml:space="preserve"> and Other Applicable Documents </w:t>
            </w:r>
          </w:p>
        </w:tc>
        <w:tc>
          <w:tcPr>
            <w:tcW w:w="1818" w:type="dxa"/>
            <w:vAlign w:val="center"/>
          </w:tcPr>
          <w:p w14:paraId="358B85CA" w14:textId="77777777" w:rsidR="00B748E9" w:rsidRPr="006711EF" w:rsidRDefault="00B748E9" w:rsidP="000A775C">
            <w:pPr>
              <w:jc w:val="center"/>
            </w:pPr>
          </w:p>
        </w:tc>
      </w:tr>
      <w:tr w:rsidR="00572E02" w:rsidRPr="006711EF" w14:paraId="61887CC0" w14:textId="77777777" w:rsidTr="008B2965">
        <w:trPr>
          <w:jc w:val="center"/>
        </w:trPr>
        <w:tc>
          <w:tcPr>
            <w:tcW w:w="7986" w:type="dxa"/>
            <w:gridSpan w:val="6"/>
          </w:tcPr>
          <w:p w14:paraId="23FCB013" w14:textId="77777777" w:rsidR="00572E02" w:rsidRPr="006711EF" w:rsidRDefault="00572E02" w:rsidP="00621827">
            <w:pPr>
              <w:numPr>
                <w:ilvl w:val="0"/>
                <w:numId w:val="3"/>
              </w:numPr>
              <w:tabs>
                <w:tab w:val="clear" w:pos="720"/>
              </w:tabs>
              <w:spacing w:before="120" w:after="120" w:line="240" w:lineRule="auto"/>
              <w:ind w:left="260" w:hanging="274"/>
            </w:pPr>
            <w:r>
              <w:t>NIDCR Safety Committee (e.g., CSOC, DSMB, DSMC) review complete or confirmation that no Safety Committee will be required</w:t>
            </w:r>
          </w:p>
        </w:tc>
        <w:tc>
          <w:tcPr>
            <w:tcW w:w="1818" w:type="dxa"/>
            <w:vAlign w:val="center"/>
          </w:tcPr>
          <w:p w14:paraId="2FFB94CE" w14:textId="77777777" w:rsidR="00572E02" w:rsidRPr="006711EF" w:rsidRDefault="00572E02" w:rsidP="000A775C">
            <w:pPr>
              <w:jc w:val="center"/>
            </w:pPr>
          </w:p>
        </w:tc>
      </w:tr>
      <w:tr w:rsidR="00572E02" w:rsidRPr="004D1F45" w14:paraId="4122232F" w14:textId="77777777" w:rsidTr="008B2965">
        <w:trPr>
          <w:jc w:val="center"/>
        </w:trPr>
        <w:tc>
          <w:tcPr>
            <w:tcW w:w="7986" w:type="dxa"/>
            <w:gridSpan w:val="6"/>
          </w:tcPr>
          <w:p w14:paraId="4C26AA64" w14:textId="77777777" w:rsidR="00572E02" w:rsidRPr="00A51292" w:rsidRDefault="00572E02" w:rsidP="00AE3D94">
            <w:pPr>
              <w:numPr>
                <w:ilvl w:val="0"/>
                <w:numId w:val="3"/>
              </w:numPr>
              <w:tabs>
                <w:tab w:val="clear" w:pos="720"/>
              </w:tabs>
              <w:spacing w:before="120" w:after="120" w:line="240" w:lineRule="auto"/>
              <w:ind w:left="260" w:hanging="274"/>
            </w:pPr>
            <w:r w:rsidRPr="00A51292">
              <w:t>Site</w:t>
            </w:r>
            <w:r>
              <w:t xml:space="preserve"> Essential Document</w:t>
            </w:r>
            <w:r w:rsidRPr="00A51292">
              <w:t xml:space="preserve"> </w:t>
            </w:r>
            <w:r>
              <w:t xml:space="preserve">File </w:t>
            </w:r>
            <w:r w:rsidRPr="00A51292">
              <w:t xml:space="preserve">Approved </w:t>
            </w:r>
          </w:p>
        </w:tc>
        <w:tc>
          <w:tcPr>
            <w:tcW w:w="1818" w:type="dxa"/>
            <w:vAlign w:val="center"/>
          </w:tcPr>
          <w:p w14:paraId="0263939A" w14:textId="77777777" w:rsidR="00572E02" w:rsidRPr="00C90C17" w:rsidRDefault="00572E02" w:rsidP="000A775C">
            <w:pPr>
              <w:pStyle w:val="CommentText"/>
              <w:jc w:val="center"/>
              <w:rPr>
                <w:rFonts w:ascii="Calibri" w:hAnsi="Calibri"/>
                <w:sz w:val="24"/>
                <w:szCs w:val="24"/>
              </w:rPr>
            </w:pPr>
          </w:p>
        </w:tc>
      </w:tr>
      <w:tr w:rsidR="00572E02" w:rsidRPr="004D1F45" w14:paraId="37DBFD98" w14:textId="77777777" w:rsidTr="008B2965">
        <w:trPr>
          <w:jc w:val="center"/>
        </w:trPr>
        <w:tc>
          <w:tcPr>
            <w:tcW w:w="7986" w:type="dxa"/>
            <w:gridSpan w:val="6"/>
          </w:tcPr>
          <w:p w14:paraId="55AC8A4E" w14:textId="77777777" w:rsidR="00572E02" w:rsidRDefault="00572E02" w:rsidP="00621827">
            <w:pPr>
              <w:numPr>
                <w:ilvl w:val="0"/>
                <w:numId w:val="3"/>
              </w:numPr>
              <w:tabs>
                <w:tab w:val="clear" w:pos="720"/>
                <w:tab w:val="num" w:pos="291"/>
              </w:tabs>
              <w:spacing w:before="120" w:after="120" w:line="240" w:lineRule="auto"/>
              <w:ind w:left="260" w:hanging="274"/>
            </w:pPr>
            <w:r>
              <w:t>Case Report Forms Final</w:t>
            </w:r>
          </w:p>
        </w:tc>
        <w:tc>
          <w:tcPr>
            <w:tcW w:w="1818" w:type="dxa"/>
            <w:vAlign w:val="center"/>
          </w:tcPr>
          <w:p w14:paraId="5742C713" w14:textId="77777777" w:rsidR="00572E02" w:rsidRPr="00C90C17" w:rsidRDefault="00572E02" w:rsidP="000A775C">
            <w:pPr>
              <w:pStyle w:val="CommentText"/>
              <w:jc w:val="center"/>
              <w:rPr>
                <w:rFonts w:ascii="Calibri" w:hAnsi="Calibri"/>
                <w:sz w:val="24"/>
                <w:szCs w:val="24"/>
              </w:rPr>
            </w:pPr>
          </w:p>
        </w:tc>
      </w:tr>
      <w:tr w:rsidR="00572E02" w:rsidRPr="004D1F45" w14:paraId="50B6FFE8" w14:textId="77777777" w:rsidTr="008B2965">
        <w:trPr>
          <w:jc w:val="center"/>
        </w:trPr>
        <w:tc>
          <w:tcPr>
            <w:tcW w:w="7986" w:type="dxa"/>
            <w:gridSpan w:val="6"/>
          </w:tcPr>
          <w:p w14:paraId="0D9C73F5" w14:textId="77777777" w:rsidR="00572E02" w:rsidRDefault="00572E02" w:rsidP="00903E57">
            <w:pPr>
              <w:numPr>
                <w:ilvl w:val="0"/>
                <w:numId w:val="3"/>
              </w:numPr>
              <w:tabs>
                <w:tab w:val="clear" w:pos="720"/>
                <w:tab w:val="num" w:pos="291"/>
              </w:tabs>
              <w:spacing w:before="120" w:after="120" w:line="240" w:lineRule="auto"/>
              <w:ind w:left="260" w:hanging="274"/>
            </w:pPr>
            <w:r>
              <w:t>Data Management System Ready for Data Entry</w:t>
            </w:r>
            <w:r w:rsidR="00903E57">
              <w:t xml:space="preserve"> and Clinical Data Management Plan Drafted</w:t>
            </w:r>
          </w:p>
        </w:tc>
        <w:tc>
          <w:tcPr>
            <w:tcW w:w="1818" w:type="dxa"/>
            <w:vAlign w:val="center"/>
          </w:tcPr>
          <w:p w14:paraId="46193946" w14:textId="77777777" w:rsidR="00572E02" w:rsidRPr="00C90C17" w:rsidRDefault="00572E02" w:rsidP="000A775C">
            <w:pPr>
              <w:pStyle w:val="CommentText"/>
              <w:jc w:val="center"/>
              <w:rPr>
                <w:rFonts w:ascii="Calibri" w:hAnsi="Calibri"/>
                <w:sz w:val="24"/>
                <w:szCs w:val="24"/>
              </w:rPr>
            </w:pPr>
          </w:p>
        </w:tc>
      </w:tr>
      <w:tr w:rsidR="00CD7376" w:rsidRPr="004D1F45" w14:paraId="092A4626" w14:textId="77777777" w:rsidTr="008B2965">
        <w:trPr>
          <w:jc w:val="center"/>
        </w:trPr>
        <w:tc>
          <w:tcPr>
            <w:tcW w:w="7986" w:type="dxa"/>
            <w:gridSpan w:val="6"/>
          </w:tcPr>
          <w:p w14:paraId="17843A14" w14:textId="77777777" w:rsidR="00CD7376" w:rsidRPr="004D1F45" w:rsidRDefault="00CD7376" w:rsidP="00CD7376">
            <w:pPr>
              <w:numPr>
                <w:ilvl w:val="0"/>
                <w:numId w:val="3"/>
              </w:numPr>
              <w:tabs>
                <w:tab w:val="clear" w:pos="720"/>
                <w:tab w:val="num" w:pos="291"/>
              </w:tabs>
              <w:spacing w:before="120" w:after="120" w:line="240" w:lineRule="auto"/>
              <w:ind w:left="260" w:hanging="274"/>
            </w:pPr>
            <w:r>
              <w:t>Study Materials on S</w:t>
            </w:r>
            <w:r w:rsidRPr="004D1F45">
              <w:t>ite</w:t>
            </w:r>
          </w:p>
          <w:p w14:paraId="46B4E017" w14:textId="77777777" w:rsidR="0019621F" w:rsidRDefault="00CD7376">
            <w:pPr>
              <w:pStyle w:val="CROMSInstruction"/>
              <w:spacing w:line="240" w:lineRule="auto"/>
            </w:pPr>
            <w:r>
              <w:t>{</w:t>
            </w:r>
            <w:r w:rsidRPr="00AE3D94">
              <w:t>Instruction:  List types of required materials separately</w:t>
            </w:r>
            <w:r>
              <w:t xml:space="preserve"> (e.g., specimen labels and tubes, questionnaires, supplies for procedures)</w:t>
            </w:r>
            <w:r w:rsidRPr="00AE3D94">
              <w:t>.</w:t>
            </w:r>
            <w:r>
              <w:t>}</w:t>
            </w:r>
          </w:p>
        </w:tc>
        <w:tc>
          <w:tcPr>
            <w:tcW w:w="1818" w:type="dxa"/>
            <w:vAlign w:val="center"/>
          </w:tcPr>
          <w:p w14:paraId="2405AF7E" w14:textId="77777777" w:rsidR="00CD7376" w:rsidRPr="00C90C17" w:rsidRDefault="00CD7376" w:rsidP="000A775C">
            <w:pPr>
              <w:pStyle w:val="CommentText"/>
              <w:jc w:val="center"/>
              <w:rPr>
                <w:rFonts w:ascii="Calibri" w:hAnsi="Calibri"/>
                <w:sz w:val="24"/>
                <w:szCs w:val="24"/>
              </w:rPr>
            </w:pPr>
          </w:p>
        </w:tc>
      </w:tr>
      <w:tr w:rsidR="00572E02" w:rsidRPr="004D1F45" w14:paraId="41D47FED" w14:textId="77777777" w:rsidTr="008B2965">
        <w:trPr>
          <w:jc w:val="center"/>
        </w:trPr>
        <w:tc>
          <w:tcPr>
            <w:tcW w:w="7986" w:type="dxa"/>
            <w:gridSpan w:val="6"/>
          </w:tcPr>
          <w:p w14:paraId="35D1DD52" w14:textId="77777777" w:rsidR="00572E02" w:rsidRDefault="00572E02" w:rsidP="00F24824">
            <w:pPr>
              <w:numPr>
                <w:ilvl w:val="0"/>
                <w:numId w:val="3"/>
              </w:numPr>
              <w:tabs>
                <w:tab w:val="clear" w:pos="720"/>
              </w:tabs>
              <w:spacing w:before="120" w:after="0" w:line="240" w:lineRule="auto"/>
              <w:ind w:left="260" w:hanging="274"/>
            </w:pPr>
            <w:r w:rsidRPr="004D1F45">
              <w:t xml:space="preserve">Site </w:t>
            </w:r>
            <w:r>
              <w:t xml:space="preserve">Initiation </w:t>
            </w:r>
            <w:r w:rsidRPr="004D1F45">
              <w:t xml:space="preserve">Visit </w:t>
            </w:r>
            <w:r>
              <w:t>C</w:t>
            </w:r>
            <w:r w:rsidRPr="004D1F45">
              <w:t>ompleted</w:t>
            </w:r>
          </w:p>
          <w:p w14:paraId="4F24717F" w14:textId="77777777" w:rsidR="00572E02" w:rsidRPr="00A62721" w:rsidRDefault="00572E02" w:rsidP="00F24824">
            <w:pPr>
              <w:numPr>
                <w:ilvl w:val="0"/>
                <w:numId w:val="5"/>
              </w:numPr>
              <w:spacing w:before="60" w:after="60" w:line="240" w:lineRule="auto"/>
              <w:ind w:left="518" w:firstLine="0"/>
            </w:pPr>
            <w:r w:rsidRPr="00A62721">
              <w:t>Trained on protocol, study procedures</w:t>
            </w:r>
            <w:r>
              <w:t xml:space="preserve"> (MOP)</w:t>
            </w:r>
            <w:r w:rsidRPr="00A62721">
              <w:t xml:space="preserve">, </w:t>
            </w:r>
            <w:r w:rsidR="00881122">
              <w:t>electronic systems</w:t>
            </w:r>
            <w:r>
              <w:t>.  (Note this requirement includes re-training, if site activation is more than 8 weeks after the site initiation visit.)</w:t>
            </w:r>
          </w:p>
          <w:p w14:paraId="442305C1" w14:textId="77777777" w:rsidR="00F24824" w:rsidRDefault="00572E02">
            <w:pPr>
              <w:numPr>
                <w:ilvl w:val="0"/>
                <w:numId w:val="5"/>
              </w:numPr>
              <w:spacing w:before="60" w:after="60" w:line="240" w:lineRule="auto"/>
              <w:ind w:left="518" w:firstLine="0"/>
            </w:pPr>
            <w:r>
              <w:t>Facilities deemed acceptable</w:t>
            </w:r>
          </w:p>
        </w:tc>
        <w:tc>
          <w:tcPr>
            <w:tcW w:w="1818" w:type="dxa"/>
            <w:vAlign w:val="center"/>
          </w:tcPr>
          <w:p w14:paraId="0EA0972E" w14:textId="77777777" w:rsidR="00F24824" w:rsidRDefault="00F24824">
            <w:pPr>
              <w:pStyle w:val="CommentText"/>
              <w:rPr>
                <w:rFonts w:ascii="Calibri" w:hAnsi="Calibri"/>
                <w:sz w:val="24"/>
                <w:szCs w:val="24"/>
              </w:rPr>
            </w:pPr>
          </w:p>
        </w:tc>
      </w:tr>
      <w:tr w:rsidR="00572E02" w:rsidRPr="004D1F45" w14:paraId="7A8E3E01" w14:textId="77777777" w:rsidTr="008B2965">
        <w:trPr>
          <w:jc w:val="center"/>
        </w:trPr>
        <w:tc>
          <w:tcPr>
            <w:tcW w:w="7986" w:type="dxa"/>
            <w:gridSpan w:val="6"/>
          </w:tcPr>
          <w:p w14:paraId="103C7421" w14:textId="77777777" w:rsidR="00572E02" w:rsidRPr="00842981" w:rsidRDefault="00022DA6" w:rsidP="00B2012B">
            <w:pPr>
              <w:numPr>
                <w:ilvl w:val="0"/>
                <w:numId w:val="3"/>
              </w:numPr>
              <w:tabs>
                <w:tab w:val="clear" w:pos="720"/>
                <w:tab w:val="num" w:pos="291"/>
              </w:tabs>
              <w:spacing w:before="120" w:after="120" w:line="240" w:lineRule="auto"/>
              <w:ind w:left="260" w:hanging="274"/>
            </w:pPr>
            <w:r>
              <w:t>Action Items from Site Initiation Visit Required for Site Activation Completed</w:t>
            </w:r>
          </w:p>
        </w:tc>
        <w:tc>
          <w:tcPr>
            <w:tcW w:w="1818" w:type="dxa"/>
            <w:vAlign w:val="center"/>
          </w:tcPr>
          <w:p w14:paraId="7A3FBEF9" w14:textId="77777777" w:rsidR="00572E02" w:rsidRPr="00C90C17" w:rsidRDefault="00572E02" w:rsidP="000A775C">
            <w:pPr>
              <w:pStyle w:val="CommentText"/>
              <w:jc w:val="center"/>
              <w:rPr>
                <w:rFonts w:ascii="Calibri" w:hAnsi="Calibri"/>
                <w:sz w:val="24"/>
                <w:szCs w:val="24"/>
              </w:rPr>
            </w:pPr>
          </w:p>
        </w:tc>
      </w:tr>
      <w:tr w:rsidR="00572E02" w:rsidRPr="004D1F45" w14:paraId="65314F91" w14:textId="77777777" w:rsidTr="008B2965">
        <w:trPr>
          <w:trHeight w:val="560"/>
          <w:jc w:val="center"/>
        </w:trPr>
        <w:tc>
          <w:tcPr>
            <w:tcW w:w="7986" w:type="dxa"/>
            <w:gridSpan w:val="6"/>
          </w:tcPr>
          <w:p w14:paraId="3DEDADC4" w14:textId="77777777" w:rsidR="00022DA6" w:rsidRDefault="00022DA6" w:rsidP="00022DA6">
            <w:pPr>
              <w:numPr>
                <w:ilvl w:val="0"/>
                <w:numId w:val="3"/>
              </w:numPr>
              <w:tabs>
                <w:tab w:val="clear" w:pos="720"/>
                <w:tab w:val="num" w:pos="291"/>
              </w:tabs>
              <w:spacing w:before="120" w:after="120" w:line="240" w:lineRule="auto"/>
              <w:ind w:left="260" w:hanging="274"/>
            </w:pPr>
            <w:r>
              <w:t>Study Specific Requirements Met</w:t>
            </w:r>
          </w:p>
          <w:p w14:paraId="6230065A" w14:textId="77777777" w:rsidR="00572E02" w:rsidRPr="008C53BB" w:rsidRDefault="00022DA6" w:rsidP="00022DA6">
            <w:pPr>
              <w:spacing w:before="120" w:after="120" w:line="240" w:lineRule="auto"/>
              <w:ind w:left="-14"/>
            </w:pPr>
            <w:r w:rsidRPr="00022DA6">
              <w:rPr>
                <w:rFonts w:ascii="Arial" w:hAnsi="Arial"/>
                <w:i/>
                <w:color w:val="1F497D"/>
              </w:rPr>
              <w:t>{Instruction:  Update with relevant list.}</w:t>
            </w:r>
          </w:p>
        </w:tc>
        <w:tc>
          <w:tcPr>
            <w:tcW w:w="1818" w:type="dxa"/>
            <w:vAlign w:val="center"/>
          </w:tcPr>
          <w:p w14:paraId="677095D7" w14:textId="77777777" w:rsidR="00572E02" w:rsidRPr="00C90C17" w:rsidRDefault="00572E02" w:rsidP="000A775C">
            <w:pPr>
              <w:pStyle w:val="CommentText"/>
              <w:jc w:val="center"/>
              <w:rPr>
                <w:rFonts w:ascii="Calibri" w:hAnsi="Calibri"/>
                <w:sz w:val="24"/>
                <w:szCs w:val="24"/>
              </w:rPr>
            </w:pPr>
          </w:p>
        </w:tc>
      </w:tr>
      <w:tr w:rsidR="00572E02" w:rsidRPr="00C90C17" w14:paraId="0145F7CA" w14:textId="77777777" w:rsidTr="008B2965">
        <w:trPr>
          <w:jc w:val="center"/>
        </w:trPr>
        <w:tc>
          <w:tcPr>
            <w:tcW w:w="7986" w:type="dxa"/>
            <w:gridSpan w:val="6"/>
          </w:tcPr>
          <w:p w14:paraId="2FC64E2F" w14:textId="77777777" w:rsidR="00572E02" w:rsidRDefault="00572E02" w:rsidP="00F24824">
            <w:pPr>
              <w:numPr>
                <w:ilvl w:val="0"/>
                <w:numId w:val="3"/>
              </w:numPr>
              <w:tabs>
                <w:tab w:val="clear" w:pos="720"/>
                <w:tab w:val="num" w:pos="291"/>
              </w:tabs>
              <w:spacing w:before="120" w:after="120" w:line="240" w:lineRule="auto"/>
              <w:ind w:left="260" w:hanging="274"/>
            </w:pPr>
            <w:proofErr w:type="spellStart"/>
            <w:r w:rsidRPr="008C53BB">
              <w:t>CT</w:t>
            </w:r>
            <w:r>
              <w:t>o</w:t>
            </w:r>
            <w:r w:rsidRPr="008C53BB">
              <w:t>A</w:t>
            </w:r>
            <w:proofErr w:type="spellEnd"/>
            <w:r w:rsidRPr="008C53BB">
              <w:t xml:space="preserve"> Met</w:t>
            </w:r>
            <w:r>
              <w:t xml:space="preserve"> and Notification of Award Sent</w:t>
            </w:r>
          </w:p>
        </w:tc>
        <w:tc>
          <w:tcPr>
            <w:tcW w:w="1818" w:type="dxa"/>
            <w:vAlign w:val="center"/>
          </w:tcPr>
          <w:p w14:paraId="65B2391D" w14:textId="77777777" w:rsidR="00572E02" w:rsidRPr="00C90C17" w:rsidRDefault="00572E02" w:rsidP="00F24824">
            <w:pPr>
              <w:pStyle w:val="CommentText"/>
              <w:jc w:val="center"/>
              <w:rPr>
                <w:rFonts w:ascii="Calibri" w:hAnsi="Calibri"/>
                <w:sz w:val="24"/>
                <w:szCs w:val="24"/>
              </w:rPr>
            </w:pPr>
          </w:p>
        </w:tc>
      </w:tr>
      <w:tr w:rsidR="00572E02" w:rsidRPr="004D1F45" w14:paraId="4A14988D" w14:textId="77777777" w:rsidTr="008B2965">
        <w:trPr>
          <w:trHeight w:val="560"/>
          <w:jc w:val="center"/>
        </w:trPr>
        <w:tc>
          <w:tcPr>
            <w:tcW w:w="6162" w:type="dxa"/>
            <w:gridSpan w:val="3"/>
            <w:tcBorders>
              <w:left w:val="nil"/>
              <w:bottom w:val="nil"/>
              <w:right w:val="nil"/>
            </w:tcBorders>
          </w:tcPr>
          <w:p w14:paraId="743FA339" w14:textId="77777777" w:rsidR="00572E02" w:rsidRDefault="00572E02" w:rsidP="00B748E9">
            <w:pPr>
              <w:spacing w:before="120" w:after="120" w:line="240" w:lineRule="auto"/>
              <w:ind w:left="260"/>
            </w:pPr>
          </w:p>
        </w:tc>
        <w:tc>
          <w:tcPr>
            <w:tcW w:w="768" w:type="dxa"/>
            <w:tcBorders>
              <w:left w:val="nil"/>
              <w:bottom w:val="nil"/>
              <w:right w:val="nil"/>
            </w:tcBorders>
          </w:tcPr>
          <w:p w14:paraId="4865AD4E" w14:textId="77777777" w:rsidR="00572E02" w:rsidRDefault="00572E02" w:rsidP="00B748E9">
            <w:pPr>
              <w:spacing w:before="120" w:after="120" w:line="240" w:lineRule="auto"/>
              <w:ind w:left="260"/>
            </w:pPr>
          </w:p>
        </w:tc>
        <w:tc>
          <w:tcPr>
            <w:tcW w:w="1056" w:type="dxa"/>
            <w:gridSpan w:val="2"/>
            <w:tcBorders>
              <w:left w:val="nil"/>
              <w:bottom w:val="nil"/>
              <w:right w:val="nil"/>
            </w:tcBorders>
            <w:vAlign w:val="center"/>
          </w:tcPr>
          <w:p w14:paraId="7FB6686B" w14:textId="77777777" w:rsidR="00572E02" w:rsidRPr="00C90C17" w:rsidRDefault="00572E02" w:rsidP="000A775C">
            <w:pPr>
              <w:pStyle w:val="CommentText"/>
              <w:jc w:val="center"/>
              <w:rPr>
                <w:rFonts w:ascii="Calibri" w:hAnsi="Calibri"/>
                <w:sz w:val="24"/>
                <w:szCs w:val="24"/>
              </w:rPr>
            </w:pPr>
          </w:p>
        </w:tc>
        <w:tc>
          <w:tcPr>
            <w:tcW w:w="1818" w:type="dxa"/>
            <w:tcBorders>
              <w:left w:val="nil"/>
              <w:bottom w:val="nil"/>
              <w:right w:val="nil"/>
            </w:tcBorders>
            <w:vAlign w:val="center"/>
          </w:tcPr>
          <w:p w14:paraId="13D0BDF8" w14:textId="77777777" w:rsidR="00572E02" w:rsidRPr="00C90C17" w:rsidRDefault="00572E02" w:rsidP="000A775C">
            <w:pPr>
              <w:pStyle w:val="CommentText"/>
              <w:jc w:val="center"/>
              <w:rPr>
                <w:rFonts w:ascii="Calibri" w:hAnsi="Calibri"/>
                <w:sz w:val="24"/>
                <w:szCs w:val="24"/>
              </w:rPr>
            </w:pPr>
          </w:p>
        </w:tc>
      </w:tr>
      <w:tr w:rsidR="008B2965" w:rsidRPr="004D1F45" w14:paraId="3A78F193" w14:textId="77777777" w:rsidTr="008B2965">
        <w:trPr>
          <w:trHeight w:val="560"/>
          <w:jc w:val="center"/>
        </w:trPr>
        <w:tc>
          <w:tcPr>
            <w:tcW w:w="6162" w:type="dxa"/>
            <w:gridSpan w:val="3"/>
            <w:tcBorders>
              <w:top w:val="nil"/>
              <w:left w:val="nil"/>
              <w:bottom w:val="single" w:sz="4" w:space="0" w:color="auto"/>
              <w:right w:val="nil"/>
            </w:tcBorders>
          </w:tcPr>
          <w:p w14:paraId="132D41AD" w14:textId="77777777" w:rsidR="008B2965" w:rsidRDefault="008B2965" w:rsidP="00B748E9">
            <w:pPr>
              <w:spacing w:before="120" w:after="120" w:line="240" w:lineRule="auto"/>
              <w:ind w:left="260"/>
            </w:pPr>
          </w:p>
          <w:p w14:paraId="4A3D4544" w14:textId="77777777" w:rsidR="006122DE" w:rsidRDefault="006122DE" w:rsidP="00B748E9">
            <w:pPr>
              <w:spacing w:before="120" w:after="120" w:line="240" w:lineRule="auto"/>
              <w:ind w:left="260"/>
            </w:pPr>
          </w:p>
        </w:tc>
        <w:tc>
          <w:tcPr>
            <w:tcW w:w="768" w:type="dxa"/>
            <w:tcBorders>
              <w:top w:val="nil"/>
              <w:left w:val="nil"/>
              <w:bottom w:val="single" w:sz="4" w:space="0" w:color="auto"/>
              <w:right w:val="nil"/>
            </w:tcBorders>
          </w:tcPr>
          <w:p w14:paraId="2B971D1E" w14:textId="77777777" w:rsidR="008B2965" w:rsidRDefault="008B2965" w:rsidP="00B748E9">
            <w:pPr>
              <w:spacing w:before="120" w:after="120" w:line="240" w:lineRule="auto"/>
              <w:ind w:left="260"/>
            </w:pPr>
          </w:p>
        </w:tc>
        <w:tc>
          <w:tcPr>
            <w:tcW w:w="1056" w:type="dxa"/>
            <w:gridSpan w:val="2"/>
            <w:tcBorders>
              <w:top w:val="nil"/>
              <w:left w:val="nil"/>
              <w:bottom w:val="nil"/>
              <w:right w:val="nil"/>
            </w:tcBorders>
            <w:vAlign w:val="center"/>
          </w:tcPr>
          <w:p w14:paraId="5F44D273" w14:textId="77777777" w:rsidR="008B2965" w:rsidRPr="00C90C17" w:rsidRDefault="008B2965" w:rsidP="000A775C">
            <w:pPr>
              <w:pStyle w:val="CommentText"/>
              <w:jc w:val="center"/>
              <w:rPr>
                <w:rFonts w:ascii="Calibri" w:hAnsi="Calibri"/>
                <w:sz w:val="24"/>
                <w:szCs w:val="24"/>
              </w:rPr>
            </w:pPr>
          </w:p>
        </w:tc>
        <w:tc>
          <w:tcPr>
            <w:tcW w:w="1818" w:type="dxa"/>
            <w:tcBorders>
              <w:top w:val="nil"/>
              <w:left w:val="nil"/>
              <w:bottom w:val="single" w:sz="4" w:space="0" w:color="auto"/>
              <w:right w:val="nil"/>
            </w:tcBorders>
            <w:vAlign w:val="center"/>
          </w:tcPr>
          <w:p w14:paraId="6E4A7BB6" w14:textId="77777777" w:rsidR="008B2965" w:rsidRPr="00C90C17" w:rsidRDefault="008B2965" w:rsidP="0083656B">
            <w:pPr>
              <w:pStyle w:val="CommentText"/>
              <w:jc w:val="center"/>
              <w:rPr>
                <w:rFonts w:ascii="Calibri" w:hAnsi="Calibri"/>
                <w:sz w:val="24"/>
                <w:szCs w:val="24"/>
              </w:rPr>
            </w:pPr>
          </w:p>
        </w:tc>
      </w:tr>
      <w:tr w:rsidR="008B2965" w:rsidRPr="004D1F45" w14:paraId="45E30FF7" w14:textId="77777777" w:rsidTr="008B2965">
        <w:trPr>
          <w:trHeight w:val="560"/>
          <w:jc w:val="center"/>
        </w:trPr>
        <w:tc>
          <w:tcPr>
            <w:tcW w:w="6162" w:type="dxa"/>
            <w:gridSpan w:val="3"/>
            <w:tcBorders>
              <w:top w:val="single" w:sz="4" w:space="0" w:color="auto"/>
              <w:left w:val="nil"/>
              <w:bottom w:val="nil"/>
              <w:right w:val="nil"/>
            </w:tcBorders>
          </w:tcPr>
          <w:p w14:paraId="4CD86300" w14:textId="77777777" w:rsidR="008B2965" w:rsidRDefault="008B2965" w:rsidP="00DE6A85">
            <w:pPr>
              <w:spacing w:before="120" w:after="0" w:line="240" w:lineRule="auto"/>
            </w:pPr>
            <w:r>
              <w:t>CROMS/DCC Representative Completing the Checklist</w:t>
            </w:r>
          </w:p>
        </w:tc>
        <w:tc>
          <w:tcPr>
            <w:tcW w:w="768" w:type="dxa"/>
            <w:tcBorders>
              <w:top w:val="single" w:sz="4" w:space="0" w:color="auto"/>
              <w:left w:val="nil"/>
              <w:bottom w:val="nil"/>
              <w:right w:val="nil"/>
            </w:tcBorders>
          </w:tcPr>
          <w:p w14:paraId="245AE599" w14:textId="77777777" w:rsidR="008B2965" w:rsidRDefault="008B2965" w:rsidP="00805676">
            <w:pPr>
              <w:spacing w:before="120" w:after="0" w:line="240" w:lineRule="auto"/>
              <w:ind w:left="260"/>
            </w:pPr>
          </w:p>
        </w:tc>
        <w:tc>
          <w:tcPr>
            <w:tcW w:w="1056" w:type="dxa"/>
            <w:gridSpan w:val="2"/>
            <w:tcBorders>
              <w:top w:val="nil"/>
              <w:left w:val="nil"/>
              <w:bottom w:val="nil"/>
              <w:right w:val="nil"/>
            </w:tcBorders>
          </w:tcPr>
          <w:p w14:paraId="4E26D5F4" w14:textId="77777777" w:rsidR="008B2965" w:rsidRPr="00C90C17" w:rsidRDefault="008B2965" w:rsidP="00805676">
            <w:pPr>
              <w:pStyle w:val="CommentText"/>
              <w:rPr>
                <w:rFonts w:ascii="Calibri" w:hAnsi="Calibri"/>
                <w:sz w:val="24"/>
                <w:szCs w:val="24"/>
              </w:rPr>
            </w:pPr>
          </w:p>
        </w:tc>
        <w:tc>
          <w:tcPr>
            <w:tcW w:w="1818" w:type="dxa"/>
            <w:tcBorders>
              <w:top w:val="single" w:sz="4" w:space="0" w:color="auto"/>
              <w:left w:val="nil"/>
              <w:bottom w:val="nil"/>
              <w:right w:val="nil"/>
            </w:tcBorders>
          </w:tcPr>
          <w:p w14:paraId="42EAD465" w14:textId="77777777" w:rsidR="008B2965" w:rsidRPr="00C90C17" w:rsidRDefault="008B2965" w:rsidP="0083656B">
            <w:pPr>
              <w:pStyle w:val="CommentText"/>
              <w:rPr>
                <w:rFonts w:ascii="Calibri" w:hAnsi="Calibri"/>
                <w:sz w:val="24"/>
                <w:szCs w:val="24"/>
              </w:rPr>
            </w:pPr>
            <w:r>
              <w:rPr>
                <w:rFonts w:ascii="Calibri" w:hAnsi="Calibri"/>
                <w:sz w:val="24"/>
                <w:szCs w:val="24"/>
              </w:rPr>
              <w:t>Date</w:t>
            </w:r>
          </w:p>
        </w:tc>
      </w:tr>
      <w:tr w:rsidR="008B2965" w:rsidRPr="004D1F45" w14:paraId="20C73559" w14:textId="77777777" w:rsidTr="008B2965">
        <w:trPr>
          <w:trHeight w:val="560"/>
          <w:jc w:val="center"/>
        </w:trPr>
        <w:tc>
          <w:tcPr>
            <w:tcW w:w="6162" w:type="dxa"/>
            <w:gridSpan w:val="3"/>
            <w:tcBorders>
              <w:top w:val="nil"/>
              <w:left w:val="nil"/>
              <w:bottom w:val="single" w:sz="4" w:space="0" w:color="auto"/>
              <w:right w:val="nil"/>
            </w:tcBorders>
          </w:tcPr>
          <w:p w14:paraId="32E85870" w14:textId="77777777" w:rsidR="008B2965" w:rsidRDefault="008B2965" w:rsidP="00B748E9">
            <w:pPr>
              <w:spacing w:before="120" w:after="120" w:line="240" w:lineRule="auto"/>
              <w:ind w:left="260"/>
            </w:pPr>
          </w:p>
          <w:p w14:paraId="16959522" w14:textId="77777777" w:rsidR="008B2965" w:rsidRDefault="008B2965" w:rsidP="00B748E9">
            <w:pPr>
              <w:spacing w:before="120" w:after="120" w:line="240" w:lineRule="auto"/>
              <w:ind w:left="260"/>
            </w:pPr>
          </w:p>
        </w:tc>
        <w:tc>
          <w:tcPr>
            <w:tcW w:w="768" w:type="dxa"/>
            <w:tcBorders>
              <w:top w:val="nil"/>
              <w:left w:val="nil"/>
              <w:bottom w:val="single" w:sz="4" w:space="0" w:color="auto"/>
              <w:right w:val="nil"/>
            </w:tcBorders>
          </w:tcPr>
          <w:p w14:paraId="03870808" w14:textId="77777777" w:rsidR="008B2965" w:rsidRDefault="008B2965" w:rsidP="00B748E9">
            <w:pPr>
              <w:spacing w:before="120" w:after="120" w:line="240" w:lineRule="auto"/>
              <w:ind w:left="260"/>
            </w:pPr>
          </w:p>
        </w:tc>
        <w:tc>
          <w:tcPr>
            <w:tcW w:w="1056" w:type="dxa"/>
            <w:gridSpan w:val="2"/>
            <w:tcBorders>
              <w:top w:val="nil"/>
              <w:left w:val="nil"/>
              <w:bottom w:val="nil"/>
              <w:right w:val="nil"/>
            </w:tcBorders>
            <w:vAlign w:val="center"/>
          </w:tcPr>
          <w:p w14:paraId="6E4BC3BD" w14:textId="77777777" w:rsidR="008B2965" w:rsidRPr="00C90C17" w:rsidRDefault="008B2965" w:rsidP="000A775C">
            <w:pPr>
              <w:pStyle w:val="CommentText"/>
              <w:jc w:val="center"/>
              <w:rPr>
                <w:rFonts w:ascii="Calibri" w:hAnsi="Calibri"/>
                <w:sz w:val="24"/>
                <w:szCs w:val="24"/>
              </w:rPr>
            </w:pPr>
          </w:p>
        </w:tc>
        <w:tc>
          <w:tcPr>
            <w:tcW w:w="1818" w:type="dxa"/>
            <w:tcBorders>
              <w:top w:val="nil"/>
              <w:left w:val="nil"/>
              <w:bottom w:val="single" w:sz="4" w:space="0" w:color="auto"/>
              <w:right w:val="nil"/>
            </w:tcBorders>
            <w:vAlign w:val="center"/>
          </w:tcPr>
          <w:p w14:paraId="6BA129A3" w14:textId="77777777" w:rsidR="008B2965" w:rsidRPr="00C90C17" w:rsidRDefault="008B2965" w:rsidP="0083656B">
            <w:pPr>
              <w:pStyle w:val="CommentText"/>
              <w:jc w:val="center"/>
              <w:rPr>
                <w:rFonts w:ascii="Calibri" w:hAnsi="Calibri"/>
                <w:sz w:val="24"/>
                <w:szCs w:val="24"/>
              </w:rPr>
            </w:pPr>
          </w:p>
        </w:tc>
      </w:tr>
      <w:tr w:rsidR="008B2965" w:rsidRPr="004D1F45" w14:paraId="11C745BD" w14:textId="77777777" w:rsidTr="008B2965">
        <w:trPr>
          <w:trHeight w:val="560"/>
          <w:jc w:val="center"/>
        </w:trPr>
        <w:tc>
          <w:tcPr>
            <w:tcW w:w="6162" w:type="dxa"/>
            <w:gridSpan w:val="3"/>
            <w:tcBorders>
              <w:left w:val="nil"/>
              <w:bottom w:val="nil"/>
              <w:right w:val="nil"/>
            </w:tcBorders>
          </w:tcPr>
          <w:p w14:paraId="155656CD" w14:textId="77777777" w:rsidR="008B2965" w:rsidRDefault="008B2965" w:rsidP="00805676">
            <w:pPr>
              <w:spacing w:before="120" w:after="120" w:line="240" w:lineRule="auto"/>
            </w:pPr>
            <w:r>
              <w:t>Activation Recommended by &lt;OCTOM Representative&gt;, OCTOM</w:t>
            </w:r>
          </w:p>
        </w:tc>
        <w:tc>
          <w:tcPr>
            <w:tcW w:w="768" w:type="dxa"/>
            <w:tcBorders>
              <w:top w:val="single" w:sz="4" w:space="0" w:color="auto"/>
              <w:left w:val="nil"/>
              <w:bottom w:val="nil"/>
              <w:right w:val="nil"/>
            </w:tcBorders>
          </w:tcPr>
          <w:p w14:paraId="2C4CA42E" w14:textId="77777777" w:rsidR="008B2965" w:rsidRDefault="008B2965" w:rsidP="00805676">
            <w:pPr>
              <w:spacing w:before="120" w:after="120" w:line="240" w:lineRule="auto"/>
              <w:ind w:left="260"/>
            </w:pPr>
          </w:p>
        </w:tc>
        <w:tc>
          <w:tcPr>
            <w:tcW w:w="1056" w:type="dxa"/>
            <w:gridSpan w:val="2"/>
            <w:tcBorders>
              <w:top w:val="nil"/>
              <w:left w:val="nil"/>
              <w:bottom w:val="nil"/>
              <w:right w:val="nil"/>
            </w:tcBorders>
          </w:tcPr>
          <w:p w14:paraId="13434AE9" w14:textId="77777777" w:rsidR="008B2965" w:rsidRPr="00C90C17" w:rsidRDefault="008B2965" w:rsidP="00805676">
            <w:pPr>
              <w:pStyle w:val="CommentText"/>
              <w:rPr>
                <w:rFonts w:ascii="Calibri" w:hAnsi="Calibri"/>
                <w:sz w:val="24"/>
                <w:szCs w:val="24"/>
              </w:rPr>
            </w:pPr>
          </w:p>
        </w:tc>
        <w:tc>
          <w:tcPr>
            <w:tcW w:w="1818" w:type="dxa"/>
            <w:tcBorders>
              <w:top w:val="single" w:sz="4" w:space="0" w:color="auto"/>
              <w:left w:val="nil"/>
              <w:bottom w:val="nil"/>
              <w:right w:val="nil"/>
            </w:tcBorders>
          </w:tcPr>
          <w:p w14:paraId="179D8A17" w14:textId="77777777" w:rsidR="008B2965" w:rsidRPr="00C90C17" w:rsidRDefault="008B2965" w:rsidP="0083656B">
            <w:pPr>
              <w:pStyle w:val="CommentText"/>
              <w:rPr>
                <w:rFonts w:ascii="Calibri" w:hAnsi="Calibri"/>
                <w:sz w:val="24"/>
                <w:szCs w:val="24"/>
              </w:rPr>
            </w:pPr>
            <w:r>
              <w:rPr>
                <w:rFonts w:ascii="Calibri" w:hAnsi="Calibri"/>
                <w:sz w:val="24"/>
                <w:szCs w:val="24"/>
              </w:rPr>
              <w:t>Date</w:t>
            </w:r>
          </w:p>
        </w:tc>
      </w:tr>
      <w:tr w:rsidR="008B2965" w:rsidRPr="004D1F45" w14:paraId="6A0A17DF" w14:textId="77777777" w:rsidTr="008B2965">
        <w:trPr>
          <w:trHeight w:val="560"/>
          <w:jc w:val="center"/>
        </w:trPr>
        <w:tc>
          <w:tcPr>
            <w:tcW w:w="6162" w:type="dxa"/>
            <w:gridSpan w:val="3"/>
            <w:tcBorders>
              <w:top w:val="nil"/>
              <w:left w:val="nil"/>
              <w:bottom w:val="single" w:sz="4" w:space="0" w:color="auto"/>
              <w:right w:val="nil"/>
            </w:tcBorders>
          </w:tcPr>
          <w:p w14:paraId="24CB0BAD" w14:textId="77777777" w:rsidR="008B2965" w:rsidRDefault="008B2965" w:rsidP="00B748E9">
            <w:pPr>
              <w:spacing w:before="120" w:after="120" w:line="240" w:lineRule="auto"/>
              <w:ind w:left="260"/>
            </w:pPr>
          </w:p>
          <w:p w14:paraId="1C8B9F2D" w14:textId="77777777" w:rsidR="008B2965" w:rsidRDefault="008B2965" w:rsidP="00B748E9">
            <w:pPr>
              <w:spacing w:before="120" w:after="120" w:line="240" w:lineRule="auto"/>
              <w:ind w:left="260"/>
            </w:pPr>
          </w:p>
        </w:tc>
        <w:tc>
          <w:tcPr>
            <w:tcW w:w="768" w:type="dxa"/>
            <w:tcBorders>
              <w:top w:val="nil"/>
              <w:left w:val="nil"/>
              <w:bottom w:val="single" w:sz="4" w:space="0" w:color="auto"/>
              <w:right w:val="nil"/>
            </w:tcBorders>
          </w:tcPr>
          <w:p w14:paraId="33664515" w14:textId="77777777" w:rsidR="008B2965" w:rsidRDefault="008B2965" w:rsidP="00B748E9">
            <w:pPr>
              <w:spacing w:before="120" w:after="120" w:line="240" w:lineRule="auto"/>
              <w:ind w:left="260"/>
            </w:pPr>
          </w:p>
        </w:tc>
        <w:tc>
          <w:tcPr>
            <w:tcW w:w="1056" w:type="dxa"/>
            <w:gridSpan w:val="2"/>
            <w:tcBorders>
              <w:top w:val="nil"/>
              <w:left w:val="nil"/>
              <w:bottom w:val="nil"/>
              <w:right w:val="nil"/>
            </w:tcBorders>
            <w:vAlign w:val="center"/>
          </w:tcPr>
          <w:p w14:paraId="75751842" w14:textId="77777777" w:rsidR="008B2965" w:rsidRPr="00C90C17" w:rsidRDefault="008B2965" w:rsidP="000A775C">
            <w:pPr>
              <w:pStyle w:val="CommentText"/>
              <w:jc w:val="center"/>
              <w:rPr>
                <w:rFonts w:ascii="Calibri" w:hAnsi="Calibri"/>
                <w:sz w:val="24"/>
                <w:szCs w:val="24"/>
              </w:rPr>
            </w:pPr>
          </w:p>
        </w:tc>
        <w:tc>
          <w:tcPr>
            <w:tcW w:w="1818" w:type="dxa"/>
            <w:tcBorders>
              <w:top w:val="nil"/>
              <w:left w:val="nil"/>
              <w:bottom w:val="single" w:sz="4" w:space="0" w:color="auto"/>
              <w:right w:val="nil"/>
            </w:tcBorders>
            <w:vAlign w:val="center"/>
          </w:tcPr>
          <w:p w14:paraId="28308FD1" w14:textId="77777777" w:rsidR="008B2965" w:rsidRPr="00C90C17" w:rsidRDefault="008B2965" w:rsidP="0083656B">
            <w:pPr>
              <w:pStyle w:val="CommentText"/>
              <w:jc w:val="center"/>
              <w:rPr>
                <w:rFonts w:ascii="Calibri" w:hAnsi="Calibri"/>
                <w:sz w:val="24"/>
                <w:szCs w:val="24"/>
              </w:rPr>
            </w:pPr>
          </w:p>
        </w:tc>
      </w:tr>
      <w:tr w:rsidR="006122DE" w:rsidRPr="004D1F45" w14:paraId="1FCA5511" w14:textId="77777777" w:rsidTr="008B2965">
        <w:trPr>
          <w:trHeight w:val="560"/>
          <w:jc w:val="center"/>
        </w:trPr>
        <w:tc>
          <w:tcPr>
            <w:tcW w:w="6162" w:type="dxa"/>
            <w:gridSpan w:val="3"/>
            <w:tcBorders>
              <w:top w:val="single" w:sz="4" w:space="0" w:color="auto"/>
              <w:left w:val="nil"/>
              <w:bottom w:val="nil"/>
              <w:right w:val="nil"/>
            </w:tcBorders>
          </w:tcPr>
          <w:p w14:paraId="2042A2C6" w14:textId="77777777" w:rsidR="006122DE" w:rsidRDefault="006122DE" w:rsidP="006122DE">
            <w:pPr>
              <w:spacing w:before="120" w:after="120" w:line="240" w:lineRule="auto"/>
            </w:pPr>
            <w:r>
              <w:t>Activation Approved by &lt;NIDCR Program Official&gt;, NIDCR</w:t>
            </w:r>
            <w:r>
              <w:rPr>
                <w:rStyle w:val="FootnoteReference"/>
              </w:rPr>
              <w:t>1</w:t>
            </w:r>
          </w:p>
        </w:tc>
        <w:tc>
          <w:tcPr>
            <w:tcW w:w="768" w:type="dxa"/>
            <w:tcBorders>
              <w:top w:val="single" w:sz="4" w:space="0" w:color="auto"/>
              <w:left w:val="nil"/>
              <w:bottom w:val="nil"/>
              <w:right w:val="nil"/>
            </w:tcBorders>
          </w:tcPr>
          <w:p w14:paraId="376B5AD3" w14:textId="77777777" w:rsidR="006122DE" w:rsidRDefault="006122DE" w:rsidP="00D5002A">
            <w:pPr>
              <w:spacing w:before="120" w:after="120" w:line="240" w:lineRule="auto"/>
              <w:ind w:left="260"/>
            </w:pPr>
          </w:p>
        </w:tc>
        <w:tc>
          <w:tcPr>
            <w:tcW w:w="1056" w:type="dxa"/>
            <w:gridSpan w:val="2"/>
            <w:tcBorders>
              <w:top w:val="nil"/>
              <w:left w:val="nil"/>
              <w:bottom w:val="nil"/>
              <w:right w:val="nil"/>
            </w:tcBorders>
          </w:tcPr>
          <w:p w14:paraId="2C8822C6" w14:textId="77777777" w:rsidR="006122DE" w:rsidRPr="00C90C17" w:rsidRDefault="006122DE" w:rsidP="00D5002A">
            <w:pPr>
              <w:pStyle w:val="CommentText"/>
              <w:rPr>
                <w:rFonts w:ascii="Calibri" w:hAnsi="Calibri"/>
                <w:sz w:val="24"/>
                <w:szCs w:val="24"/>
              </w:rPr>
            </w:pPr>
          </w:p>
        </w:tc>
        <w:tc>
          <w:tcPr>
            <w:tcW w:w="1818" w:type="dxa"/>
            <w:tcBorders>
              <w:top w:val="single" w:sz="4" w:space="0" w:color="auto"/>
              <w:left w:val="nil"/>
              <w:bottom w:val="nil"/>
              <w:right w:val="nil"/>
            </w:tcBorders>
          </w:tcPr>
          <w:p w14:paraId="7DAAE2C3" w14:textId="77777777" w:rsidR="006122DE" w:rsidRPr="000A2956" w:rsidRDefault="006122DE" w:rsidP="00D5002A">
            <w:pPr>
              <w:pStyle w:val="CommentText"/>
              <w:spacing w:before="120"/>
              <w:rPr>
                <w:rFonts w:ascii="Calibri" w:hAnsi="Calibri"/>
                <w:sz w:val="22"/>
                <w:szCs w:val="22"/>
              </w:rPr>
            </w:pPr>
            <w:r w:rsidRPr="000A2956">
              <w:rPr>
                <w:rFonts w:ascii="Calibri" w:hAnsi="Calibri"/>
                <w:sz w:val="22"/>
                <w:szCs w:val="22"/>
              </w:rPr>
              <w:t>Date</w:t>
            </w:r>
          </w:p>
        </w:tc>
      </w:tr>
    </w:tbl>
    <w:p w14:paraId="302E3B54" w14:textId="77777777" w:rsidR="00582F34" w:rsidRPr="004D1F45" w:rsidRDefault="00582F34" w:rsidP="00B71483">
      <w:pPr>
        <w:spacing w:after="60" w:line="240" w:lineRule="auto"/>
      </w:pPr>
    </w:p>
    <w:p w14:paraId="78A6CA4C" w14:textId="77777777" w:rsidR="006122DE" w:rsidRDefault="006122DE">
      <w:pPr>
        <w:spacing w:after="0" w:line="240" w:lineRule="auto"/>
        <w:rPr>
          <w:rFonts w:ascii="Arial" w:hAnsi="Arial" w:cs="Arial"/>
          <w:b/>
          <w:sz w:val="20"/>
          <w:szCs w:val="20"/>
        </w:rPr>
      </w:pPr>
    </w:p>
    <w:p w14:paraId="31ABBC12" w14:textId="77777777" w:rsidR="006122DE" w:rsidRDefault="006122DE">
      <w:pPr>
        <w:spacing w:after="0" w:line="240" w:lineRule="auto"/>
        <w:rPr>
          <w:rFonts w:ascii="Arial" w:hAnsi="Arial" w:cs="Arial"/>
          <w:b/>
          <w:sz w:val="20"/>
          <w:szCs w:val="20"/>
        </w:rPr>
      </w:pPr>
    </w:p>
    <w:p w14:paraId="245ADF20" w14:textId="77777777" w:rsidR="006122DE" w:rsidRDefault="006122DE">
      <w:pPr>
        <w:spacing w:after="0" w:line="240" w:lineRule="auto"/>
        <w:rPr>
          <w:rFonts w:ascii="Arial" w:hAnsi="Arial" w:cs="Arial"/>
          <w:b/>
          <w:sz w:val="20"/>
          <w:szCs w:val="20"/>
        </w:rPr>
      </w:pPr>
    </w:p>
    <w:p w14:paraId="4D2E8745" w14:textId="77777777" w:rsidR="006122DE" w:rsidRDefault="006122DE">
      <w:pPr>
        <w:spacing w:after="0" w:line="240" w:lineRule="auto"/>
        <w:rPr>
          <w:rFonts w:ascii="Arial" w:hAnsi="Arial" w:cs="Arial"/>
          <w:b/>
          <w:sz w:val="20"/>
          <w:szCs w:val="20"/>
        </w:rPr>
      </w:pPr>
    </w:p>
    <w:p w14:paraId="0D084832" w14:textId="77777777" w:rsidR="006122DE" w:rsidRDefault="006122DE">
      <w:pPr>
        <w:spacing w:after="0" w:line="240" w:lineRule="auto"/>
        <w:rPr>
          <w:rFonts w:ascii="Arial" w:hAnsi="Arial" w:cs="Arial"/>
          <w:b/>
          <w:sz w:val="20"/>
          <w:szCs w:val="20"/>
        </w:rPr>
      </w:pPr>
    </w:p>
    <w:p w14:paraId="11C66FBF" w14:textId="77777777" w:rsidR="006122DE" w:rsidRDefault="006122DE">
      <w:pPr>
        <w:spacing w:after="0" w:line="240" w:lineRule="auto"/>
        <w:rPr>
          <w:rFonts w:ascii="Arial" w:hAnsi="Arial" w:cs="Arial"/>
          <w:b/>
          <w:sz w:val="20"/>
          <w:szCs w:val="20"/>
        </w:rPr>
      </w:pPr>
    </w:p>
    <w:p w14:paraId="04B9B41A" w14:textId="77777777" w:rsidR="006122DE" w:rsidRDefault="006122DE">
      <w:pPr>
        <w:spacing w:after="0" w:line="240" w:lineRule="auto"/>
        <w:rPr>
          <w:rFonts w:ascii="Arial" w:hAnsi="Arial" w:cs="Arial"/>
          <w:b/>
          <w:sz w:val="20"/>
          <w:szCs w:val="20"/>
        </w:rPr>
      </w:pPr>
    </w:p>
    <w:p w14:paraId="633F0862" w14:textId="77777777" w:rsidR="006122DE" w:rsidRDefault="006122DE">
      <w:pPr>
        <w:spacing w:after="0" w:line="240" w:lineRule="auto"/>
        <w:rPr>
          <w:rFonts w:ascii="Arial" w:hAnsi="Arial" w:cs="Arial"/>
          <w:b/>
          <w:sz w:val="20"/>
          <w:szCs w:val="20"/>
        </w:rPr>
      </w:pPr>
    </w:p>
    <w:p w14:paraId="043187A0" w14:textId="77777777" w:rsidR="006122DE" w:rsidRDefault="006122DE">
      <w:pPr>
        <w:spacing w:after="0" w:line="240" w:lineRule="auto"/>
        <w:rPr>
          <w:rFonts w:ascii="Arial" w:hAnsi="Arial" w:cs="Arial"/>
          <w:b/>
          <w:sz w:val="20"/>
          <w:szCs w:val="20"/>
        </w:rPr>
      </w:pPr>
    </w:p>
    <w:p w14:paraId="7B2CA770" w14:textId="77777777" w:rsidR="006122DE" w:rsidRDefault="006122DE">
      <w:pPr>
        <w:spacing w:after="0" w:line="240" w:lineRule="auto"/>
        <w:rPr>
          <w:rFonts w:ascii="Arial" w:hAnsi="Arial" w:cs="Arial"/>
          <w:b/>
          <w:sz w:val="20"/>
          <w:szCs w:val="20"/>
        </w:rPr>
      </w:pPr>
      <w:r>
        <w:rPr>
          <w:rFonts w:ascii="Arial" w:hAnsi="Arial" w:cs="Arial"/>
          <w:b/>
          <w:sz w:val="20"/>
          <w:szCs w:val="20"/>
        </w:rPr>
        <w:t>___________________________</w:t>
      </w:r>
    </w:p>
    <w:p w14:paraId="7B207B3B" w14:textId="77777777" w:rsidR="006122DE" w:rsidRDefault="006122DE">
      <w:pPr>
        <w:spacing w:after="0" w:line="240" w:lineRule="auto"/>
        <w:rPr>
          <w:rFonts w:ascii="Arial" w:hAnsi="Arial" w:cs="Arial"/>
          <w:b/>
          <w:sz w:val="20"/>
          <w:szCs w:val="20"/>
        </w:rPr>
      </w:pPr>
    </w:p>
    <w:p w14:paraId="282476E7" w14:textId="77777777" w:rsidR="00C15EC3" w:rsidRDefault="006122DE">
      <w:pPr>
        <w:spacing w:after="0" w:line="240" w:lineRule="auto"/>
        <w:rPr>
          <w:rFonts w:ascii="Arial" w:hAnsi="Arial" w:cs="Arial"/>
          <w:b/>
          <w:sz w:val="20"/>
          <w:szCs w:val="20"/>
        </w:rPr>
      </w:pPr>
      <w:r>
        <w:rPr>
          <w:rStyle w:val="FootnoteReference"/>
        </w:rPr>
        <w:footnoteRef/>
      </w:r>
      <w:r>
        <w:t xml:space="preserve"> </w:t>
      </w:r>
      <w:r w:rsidRPr="006122DE">
        <w:rPr>
          <w:sz w:val="20"/>
          <w:szCs w:val="20"/>
        </w:rPr>
        <w:t>Forward an electronic version of this document that includes all signatures to the CROMS representative for storage in the study file.</w:t>
      </w:r>
      <w:r w:rsidR="00C15EC3">
        <w:rPr>
          <w:rFonts w:ascii="Arial" w:hAnsi="Arial" w:cs="Arial"/>
          <w:b/>
          <w:sz w:val="20"/>
          <w:szCs w:val="20"/>
        </w:rPr>
        <w:br w:type="page"/>
      </w:r>
    </w:p>
    <w:p w14:paraId="19F2481F" w14:textId="77777777" w:rsidR="00C07017" w:rsidRPr="0017587F" w:rsidRDefault="00141913" w:rsidP="008842BC">
      <w:pPr>
        <w:jc w:val="center"/>
        <w:rPr>
          <w:rFonts w:ascii="Arial" w:hAnsi="Arial" w:cs="Arial"/>
          <w:b/>
          <w:sz w:val="20"/>
          <w:szCs w:val="20"/>
        </w:rPr>
      </w:pPr>
      <w:r w:rsidRPr="0017587F">
        <w:rPr>
          <w:rFonts w:ascii="Arial" w:hAnsi="Arial" w:cs="Arial"/>
          <w:b/>
          <w:sz w:val="20"/>
          <w:szCs w:val="20"/>
        </w:rPr>
        <w:lastRenderedPageBreak/>
        <w:t>A</w:t>
      </w:r>
      <w:r>
        <w:rPr>
          <w:rFonts w:ascii="Arial" w:hAnsi="Arial" w:cs="Arial"/>
          <w:b/>
          <w:sz w:val="20"/>
          <w:szCs w:val="20"/>
        </w:rPr>
        <w:t>PPENDIX</w:t>
      </w:r>
      <w:r w:rsidRPr="0017587F">
        <w:rPr>
          <w:rFonts w:ascii="Arial" w:hAnsi="Arial" w:cs="Arial"/>
          <w:b/>
          <w:sz w:val="20"/>
          <w:szCs w:val="20"/>
        </w:rPr>
        <w:t xml:space="preserve"> </w:t>
      </w:r>
      <w:r w:rsidR="00187DBE" w:rsidRPr="0017587F">
        <w:rPr>
          <w:rFonts w:ascii="Arial" w:hAnsi="Arial" w:cs="Arial"/>
          <w:b/>
          <w:sz w:val="20"/>
          <w:szCs w:val="20"/>
        </w:rPr>
        <w:t xml:space="preserve">B:  Requirements for </w:t>
      </w:r>
      <w:proofErr w:type="spellStart"/>
      <w:r w:rsidR="00F24824">
        <w:rPr>
          <w:rFonts w:ascii="Arial" w:hAnsi="Arial" w:cs="Arial"/>
          <w:b/>
          <w:sz w:val="20"/>
          <w:szCs w:val="20"/>
        </w:rPr>
        <w:t>CToA</w:t>
      </w:r>
      <w:proofErr w:type="spellEnd"/>
      <w:r w:rsidR="00F24824">
        <w:rPr>
          <w:rFonts w:ascii="Arial" w:hAnsi="Arial" w:cs="Arial"/>
          <w:b/>
          <w:sz w:val="20"/>
          <w:szCs w:val="20"/>
        </w:rPr>
        <w:t xml:space="preserve">/Grant, </w:t>
      </w:r>
      <w:r w:rsidR="00187DBE" w:rsidRPr="0017587F">
        <w:rPr>
          <w:rFonts w:ascii="Arial" w:hAnsi="Arial" w:cs="Arial"/>
          <w:b/>
          <w:sz w:val="20"/>
          <w:szCs w:val="20"/>
        </w:rPr>
        <w:t xml:space="preserve">Initiation, </w:t>
      </w:r>
      <w:r w:rsidR="0017587F">
        <w:rPr>
          <w:rFonts w:ascii="Arial" w:hAnsi="Arial" w:cs="Arial"/>
          <w:b/>
          <w:sz w:val="20"/>
          <w:szCs w:val="20"/>
        </w:rPr>
        <w:t xml:space="preserve">and </w:t>
      </w:r>
      <w:r w:rsidR="008842BC" w:rsidRPr="0017587F">
        <w:rPr>
          <w:rFonts w:ascii="Arial" w:hAnsi="Arial" w:cs="Arial"/>
          <w:b/>
          <w:sz w:val="20"/>
          <w:szCs w:val="20"/>
        </w:rPr>
        <w:t>Activation</w:t>
      </w:r>
    </w:p>
    <w:tbl>
      <w:tblPr>
        <w:tblW w:w="9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8"/>
        <w:gridCol w:w="2016"/>
        <w:gridCol w:w="2016"/>
        <w:gridCol w:w="2016"/>
      </w:tblGrid>
      <w:tr w:rsidR="00BE0E7E" w:rsidRPr="0017587F" w14:paraId="5B218A65" w14:textId="77777777" w:rsidTr="000E30F0">
        <w:trPr>
          <w:tblHeader/>
        </w:trPr>
        <w:tc>
          <w:tcPr>
            <w:tcW w:w="3798" w:type="dxa"/>
          </w:tcPr>
          <w:p w14:paraId="7EC59CAF" w14:textId="77777777" w:rsidR="0019621F" w:rsidRDefault="00E058EC">
            <w:pPr>
              <w:spacing w:after="120"/>
              <w:jc w:val="center"/>
              <w:rPr>
                <w:rFonts w:ascii="Arial" w:hAnsi="Arial" w:cs="Arial"/>
                <w:b/>
                <w:sz w:val="20"/>
                <w:szCs w:val="20"/>
              </w:rPr>
            </w:pPr>
            <w:r w:rsidRPr="0091349B">
              <w:rPr>
                <w:rFonts w:ascii="Arial" w:hAnsi="Arial" w:cs="Arial"/>
                <w:b/>
                <w:sz w:val="20"/>
                <w:szCs w:val="20"/>
              </w:rPr>
              <w:t>Item</w:t>
            </w:r>
          </w:p>
        </w:tc>
        <w:tc>
          <w:tcPr>
            <w:tcW w:w="2016" w:type="dxa"/>
          </w:tcPr>
          <w:p w14:paraId="7E18D417" w14:textId="77777777" w:rsidR="0019621F" w:rsidRDefault="00E058EC">
            <w:pPr>
              <w:spacing w:after="120"/>
              <w:jc w:val="center"/>
              <w:rPr>
                <w:rFonts w:ascii="Arial" w:hAnsi="Arial" w:cs="Arial"/>
                <w:b/>
                <w:sz w:val="20"/>
                <w:szCs w:val="20"/>
              </w:rPr>
            </w:pPr>
            <w:proofErr w:type="spellStart"/>
            <w:r w:rsidRPr="0091349B">
              <w:rPr>
                <w:rFonts w:ascii="Arial" w:hAnsi="Arial" w:cs="Arial"/>
                <w:b/>
                <w:sz w:val="20"/>
                <w:szCs w:val="20"/>
              </w:rPr>
              <w:t>CToA</w:t>
            </w:r>
            <w:proofErr w:type="spellEnd"/>
            <w:r>
              <w:rPr>
                <w:rFonts w:ascii="Arial" w:hAnsi="Arial" w:cs="Arial"/>
                <w:b/>
                <w:sz w:val="20"/>
                <w:szCs w:val="20"/>
              </w:rPr>
              <w:t>/Grant</w:t>
            </w:r>
          </w:p>
        </w:tc>
        <w:tc>
          <w:tcPr>
            <w:tcW w:w="2016" w:type="dxa"/>
          </w:tcPr>
          <w:p w14:paraId="198D7390" w14:textId="77777777" w:rsidR="0019621F" w:rsidRDefault="00E058EC">
            <w:pPr>
              <w:spacing w:after="120"/>
              <w:jc w:val="center"/>
              <w:rPr>
                <w:rFonts w:ascii="Arial" w:hAnsi="Arial" w:cs="Arial"/>
                <w:b/>
                <w:sz w:val="20"/>
                <w:szCs w:val="20"/>
              </w:rPr>
            </w:pPr>
            <w:r w:rsidRPr="0091349B">
              <w:rPr>
                <w:rFonts w:ascii="Arial" w:hAnsi="Arial" w:cs="Arial"/>
                <w:b/>
                <w:sz w:val="20"/>
                <w:szCs w:val="20"/>
              </w:rPr>
              <w:t>Initiation</w:t>
            </w:r>
          </w:p>
        </w:tc>
        <w:tc>
          <w:tcPr>
            <w:tcW w:w="2016" w:type="dxa"/>
          </w:tcPr>
          <w:p w14:paraId="629722DE" w14:textId="77777777" w:rsidR="0019621F" w:rsidRDefault="00E058EC">
            <w:pPr>
              <w:spacing w:after="120"/>
              <w:jc w:val="center"/>
              <w:rPr>
                <w:rFonts w:ascii="Arial" w:hAnsi="Arial" w:cs="Arial"/>
                <w:b/>
                <w:sz w:val="20"/>
                <w:szCs w:val="20"/>
              </w:rPr>
            </w:pPr>
            <w:r w:rsidRPr="0091349B">
              <w:rPr>
                <w:rFonts w:ascii="Arial" w:hAnsi="Arial" w:cs="Arial"/>
                <w:b/>
                <w:sz w:val="20"/>
                <w:szCs w:val="20"/>
              </w:rPr>
              <w:t>Activation</w:t>
            </w:r>
          </w:p>
        </w:tc>
      </w:tr>
      <w:tr w:rsidR="00BE0E7E" w:rsidRPr="0017587F" w14:paraId="0942C35F" w14:textId="77777777" w:rsidTr="000E30F0">
        <w:tc>
          <w:tcPr>
            <w:tcW w:w="3798" w:type="dxa"/>
          </w:tcPr>
          <w:p w14:paraId="30C7262D" w14:textId="77777777" w:rsidR="0019621F" w:rsidRDefault="00E058EC">
            <w:pPr>
              <w:spacing w:before="60" w:after="120" w:line="240" w:lineRule="auto"/>
              <w:rPr>
                <w:rFonts w:ascii="Arial" w:hAnsi="Arial" w:cs="Arial"/>
                <w:sz w:val="20"/>
                <w:szCs w:val="20"/>
              </w:rPr>
            </w:pPr>
            <w:r w:rsidRPr="0091349B">
              <w:rPr>
                <w:rFonts w:ascii="Arial" w:hAnsi="Arial" w:cs="Arial"/>
                <w:sz w:val="20"/>
                <w:szCs w:val="20"/>
              </w:rPr>
              <w:t>IRB Approved Protocol</w:t>
            </w:r>
          </w:p>
        </w:tc>
        <w:tc>
          <w:tcPr>
            <w:tcW w:w="2016" w:type="dxa"/>
          </w:tcPr>
          <w:p w14:paraId="63104BE3" w14:textId="77777777"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Required</w:t>
            </w:r>
          </w:p>
        </w:tc>
        <w:tc>
          <w:tcPr>
            <w:tcW w:w="2016" w:type="dxa"/>
          </w:tcPr>
          <w:p w14:paraId="033C1E82" w14:textId="77777777"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Required</w:t>
            </w:r>
          </w:p>
        </w:tc>
        <w:tc>
          <w:tcPr>
            <w:tcW w:w="2016" w:type="dxa"/>
          </w:tcPr>
          <w:p w14:paraId="346B08F1" w14:textId="77777777"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Required</w:t>
            </w:r>
          </w:p>
        </w:tc>
      </w:tr>
      <w:tr w:rsidR="00BE0E7E" w:rsidRPr="0017587F" w14:paraId="73C6D2EE" w14:textId="77777777" w:rsidTr="000E30F0">
        <w:tc>
          <w:tcPr>
            <w:tcW w:w="3798" w:type="dxa"/>
          </w:tcPr>
          <w:p w14:paraId="614DD85E" w14:textId="77777777" w:rsidR="0019621F" w:rsidRDefault="00F24824">
            <w:pPr>
              <w:spacing w:before="60" w:after="120" w:line="240" w:lineRule="auto"/>
              <w:rPr>
                <w:rFonts w:ascii="Arial" w:hAnsi="Arial" w:cs="Arial"/>
                <w:sz w:val="20"/>
                <w:szCs w:val="20"/>
              </w:rPr>
            </w:pPr>
            <w:r>
              <w:rPr>
                <w:rFonts w:ascii="Arial" w:hAnsi="Arial" w:cs="Arial"/>
                <w:sz w:val="20"/>
                <w:szCs w:val="20"/>
              </w:rPr>
              <w:t>IRB Approved Consent Document</w:t>
            </w:r>
            <w:r w:rsidR="00D2043A">
              <w:rPr>
                <w:rFonts w:ascii="Arial" w:hAnsi="Arial" w:cs="Arial"/>
                <w:sz w:val="20"/>
                <w:szCs w:val="20"/>
              </w:rPr>
              <w:t>(</w:t>
            </w:r>
            <w:r>
              <w:rPr>
                <w:rFonts w:ascii="Arial" w:hAnsi="Arial" w:cs="Arial"/>
                <w:sz w:val="20"/>
                <w:szCs w:val="20"/>
              </w:rPr>
              <w:t>s</w:t>
            </w:r>
            <w:r w:rsidR="004A0421">
              <w:rPr>
                <w:rFonts w:ascii="Arial" w:hAnsi="Arial" w:cs="Arial"/>
                <w:sz w:val="20"/>
                <w:szCs w:val="20"/>
              </w:rPr>
              <w:t>)</w:t>
            </w:r>
          </w:p>
        </w:tc>
        <w:tc>
          <w:tcPr>
            <w:tcW w:w="2016" w:type="dxa"/>
          </w:tcPr>
          <w:p w14:paraId="02728B95" w14:textId="77777777" w:rsidR="0019621F" w:rsidRDefault="00F24824">
            <w:pPr>
              <w:spacing w:before="60" w:after="120" w:line="240" w:lineRule="auto"/>
              <w:jc w:val="center"/>
              <w:rPr>
                <w:rFonts w:ascii="Arial" w:hAnsi="Arial" w:cs="Arial"/>
                <w:sz w:val="20"/>
                <w:szCs w:val="20"/>
              </w:rPr>
            </w:pPr>
            <w:r>
              <w:rPr>
                <w:rFonts w:ascii="Arial" w:hAnsi="Arial" w:cs="Arial"/>
                <w:sz w:val="20"/>
                <w:szCs w:val="20"/>
              </w:rPr>
              <w:t>Required</w:t>
            </w:r>
          </w:p>
        </w:tc>
        <w:tc>
          <w:tcPr>
            <w:tcW w:w="2016" w:type="dxa"/>
          </w:tcPr>
          <w:p w14:paraId="7F618926" w14:textId="77777777" w:rsidR="0019621F" w:rsidRDefault="00F24824">
            <w:pPr>
              <w:spacing w:before="60" w:after="120" w:line="240" w:lineRule="auto"/>
              <w:jc w:val="center"/>
              <w:rPr>
                <w:rFonts w:ascii="Arial" w:hAnsi="Arial" w:cs="Arial"/>
                <w:sz w:val="20"/>
                <w:szCs w:val="20"/>
              </w:rPr>
            </w:pPr>
            <w:r>
              <w:rPr>
                <w:rFonts w:ascii="Arial" w:hAnsi="Arial" w:cs="Arial"/>
                <w:sz w:val="20"/>
                <w:szCs w:val="20"/>
              </w:rPr>
              <w:t>Required</w:t>
            </w:r>
          </w:p>
        </w:tc>
        <w:tc>
          <w:tcPr>
            <w:tcW w:w="2016" w:type="dxa"/>
          </w:tcPr>
          <w:p w14:paraId="5BD77596" w14:textId="77777777" w:rsidR="0019621F" w:rsidRDefault="00F24824">
            <w:pPr>
              <w:spacing w:before="60" w:after="120" w:line="240" w:lineRule="auto"/>
              <w:jc w:val="center"/>
              <w:rPr>
                <w:rFonts w:ascii="Arial" w:hAnsi="Arial" w:cs="Arial"/>
                <w:sz w:val="20"/>
                <w:szCs w:val="20"/>
              </w:rPr>
            </w:pPr>
            <w:r>
              <w:rPr>
                <w:rFonts w:ascii="Arial" w:hAnsi="Arial" w:cs="Arial"/>
                <w:sz w:val="20"/>
                <w:szCs w:val="20"/>
              </w:rPr>
              <w:t>Required</w:t>
            </w:r>
          </w:p>
        </w:tc>
      </w:tr>
      <w:tr w:rsidR="00BE0E7E" w:rsidRPr="0017587F" w14:paraId="1FB02419" w14:textId="77777777" w:rsidTr="000E30F0">
        <w:tc>
          <w:tcPr>
            <w:tcW w:w="3798" w:type="dxa"/>
          </w:tcPr>
          <w:p w14:paraId="2D96F3B1" w14:textId="77777777" w:rsidR="0019621F" w:rsidRDefault="00E058EC">
            <w:pPr>
              <w:spacing w:before="60" w:after="120" w:line="240" w:lineRule="auto"/>
              <w:rPr>
                <w:rFonts w:ascii="Arial" w:hAnsi="Arial" w:cs="Arial"/>
                <w:sz w:val="20"/>
                <w:szCs w:val="20"/>
              </w:rPr>
            </w:pPr>
            <w:r>
              <w:rPr>
                <w:rFonts w:ascii="Arial" w:hAnsi="Arial" w:cs="Arial"/>
                <w:sz w:val="20"/>
                <w:szCs w:val="20"/>
              </w:rPr>
              <w:t>IRB Approval of Study Materials</w:t>
            </w:r>
          </w:p>
        </w:tc>
        <w:tc>
          <w:tcPr>
            <w:tcW w:w="2016" w:type="dxa"/>
          </w:tcPr>
          <w:p w14:paraId="130F9144" w14:textId="77777777" w:rsidR="0019621F" w:rsidRDefault="00E058EC">
            <w:pPr>
              <w:spacing w:before="60" w:after="120" w:line="240" w:lineRule="auto"/>
              <w:jc w:val="center"/>
              <w:rPr>
                <w:rFonts w:ascii="Arial" w:hAnsi="Arial" w:cs="Arial"/>
                <w:sz w:val="20"/>
                <w:szCs w:val="20"/>
              </w:rPr>
            </w:pPr>
            <w:r>
              <w:rPr>
                <w:rFonts w:ascii="Arial" w:hAnsi="Arial" w:cs="Arial"/>
                <w:sz w:val="20"/>
                <w:szCs w:val="20"/>
              </w:rPr>
              <w:t>Not Required</w:t>
            </w:r>
          </w:p>
        </w:tc>
        <w:tc>
          <w:tcPr>
            <w:tcW w:w="2016" w:type="dxa"/>
          </w:tcPr>
          <w:p w14:paraId="57448783" w14:textId="77777777" w:rsidR="0019621F" w:rsidRDefault="00E058EC">
            <w:pPr>
              <w:spacing w:before="60" w:after="120" w:line="240" w:lineRule="auto"/>
              <w:jc w:val="center"/>
              <w:rPr>
                <w:rFonts w:ascii="Arial" w:hAnsi="Arial" w:cs="Arial"/>
                <w:sz w:val="20"/>
                <w:szCs w:val="20"/>
              </w:rPr>
            </w:pPr>
            <w:r>
              <w:rPr>
                <w:rFonts w:ascii="Arial" w:hAnsi="Arial" w:cs="Arial"/>
                <w:sz w:val="20"/>
                <w:szCs w:val="20"/>
              </w:rPr>
              <w:t>Required</w:t>
            </w:r>
          </w:p>
        </w:tc>
        <w:tc>
          <w:tcPr>
            <w:tcW w:w="2016" w:type="dxa"/>
          </w:tcPr>
          <w:p w14:paraId="7B0F9410" w14:textId="77777777" w:rsidR="0019621F" w:rsidRDefault="00E058EC">
            <w:pPr>
              <w:spacing w:before="60" w:after="120" w:line="240" w:lineRule="auto"/>
              <w:jc w:val="center"/>
              <w:rPr>
                <w:rFonts w:ascii="Arial" w:hAnsi="Arial" w:cs="Arial"/>
                <w:sz w:val="20"/>
                <w:szCs w:val="20"/>
              </w:rPr>
            </w:pPr>
            <w:r>
              <w:rPr>
                <w:rFonts w:ascii="Arial" w:hAnsi="Arial" w:cs="Arial"/>
                <w:sz w:val="20"/>
                <w:szCs w:val="20"/>
              </w:rPr>
              <w:t>Required</w:t>
            </w:r>
          </w:p>
        </w:tc>
      </w:tr>
      <w:tr w:rsidR="00BE0E7E" w:rsidRPr="0017587F" w14:paraId="4D772519" w14:textId="77777777" w:rsidTr="000E30F0">
        <w:tc>
          <w:tcPr>
            <w:tcW w:w="3798" w:type="dxa"/>
          </w:tcPr>
          <w:p w14:paraId="43659758" w14:textId="77777777" w:rsidR="0019621F" w:rsidRDefault="00E058EC">
            <w:pPr>
              <w:spacing w:before="60" w:after="120" w:line="240" w:lineRule="auto"/>
              <w:rPr>
                <w:rFonts w:ascii="Arial" w:hAnsi="Arial" w:cs="Arial"/>
                <w:sz w:val="20"/>
                <w:szCs w:val="20"/>
              </w:rPr>
            </w:pPr>
            <w:r>
              <w:rPr>
                <w:rFonts w:ascii="Arial" w:hAnsi="Arial" w:cs="Arial"/>
                <w:sz w:val="20"/>
                <w:szCs w:val="20"/>
              </w:rPr>
              <w:t>Safety Oversight Committee</w:t>
            </w:r>
            <w:r w:rsidRPr="0091349B">
              <w:rPr>
                <w:rFonts w:ascii="Arial" w:hAnsi="Arial" w:cs="Arial"/>
                <w:sz w:val="20"/>
                <w:szCs w:val="20"/>
              </w:rPr>
              <w:t xml:space="preserve"> </w:t>
            </w:r>
            <w:r>
              <w:rPr>
                <w:rFonts w:ascii="Arial" w:hAnsi="Arial" w:cs="Arial"/>
                <w:sz w:val="20"/>
                <w:szCs w:val="20"/>
              </w:rPr>
              <w:t>Review of Protocol</w:t>
            </w:r>
          </w:p>
        </w:tc>
        <w:tc>
          <w:tcPr>
            <w:tcW w:w="2016" w:type="dxa"/>
          </w:tcPr>
          <w:p w14:paraId="2B6BD0A7" w14:textId="77777777"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Not Required</w:t>
            </w:r>
          </w:p>
        </w:tc>
        <w:tc>
          <w:tcPr>
            <w:tcW w:w="2016" w:type="dxa"/>
          </w:tcPr>
          <w:p w14:paraId="62306DA8" w14:textId="77777777"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Recommended</w:t>
            </w:r>
          </w:p>
        </w:tc>
        <w:tc>
          <w:tcPr>
            <w:tcW w:w="2016" w:type="dxa"/>
          </w:tcPr>
          <w:p w14:paraId="76EBC1CF" w14:textId="77777777"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Required</w:t>
            </w:r>
          </w:p>
        </w:tc>
      </w:tr>
      <w:tr w:rsidR="00BE0E7E" w:rsidRPr="0017587F" w14:paraId="2C7B8625" w14:textId="77777777" w:rsidTr="000E30F0">
        <w:tc>
          <w:tcPr>
            <w:tcW w:w="3798" w:type="dxa"/>
          </w:tcPr>
          <w:p w14:paraId="6ED71682" w14:textId="77777777" w:rsidR="0019621F" w:rsidRDefault="007A12BC">
            <w:pPr>
              <w:spacing w:before="60" w:after="120" w:line="240" w:lineRule="auto"/>
              <w:rPr>
                <w:rFonts w:ascii="Arial" w:hAnsi="Arial" w:cs="Arial"/>
                <w:sz w:val="20"/>
                <w:szCs w:val="20"/>
              </w:rPr>
            </w:pPr>
            <w:r w:rsidRPr="0091349B">
              <w:rPr>
                <w:rFonts w:ascii="Arial" w:hAnsi="Arial" w:cs="Arial"/>
                <w:sz w:val="20"/>
                <w:szCs w:val="20"/>
              </w:rPr>
              <w:t>Manual of Procedures or Set of Study Specific Procedural Documents</w:t>
            </w:r>
          </w:p>
        </w:tc>
        <w:tc>
          <w:tcPr>
            <w:tcW w:w="2016" w:type="dxa"/>
          </w:tcPr>
          <w:p w14:paraId="4C875EAE" w14:textId="77777777" w:rsidR="0019621F" w:rsidRDefault="007A12BC">
            <w:pPr>
              <w:spacing w:before="60" w:after="120" w:line="240" w:lineRule="auto"/>
              <w:jc w:val="center"/>
              <w:rPr>
                <w:rFonts w:ascii="Arial" w:hAnsi="Arial" w:cs="Arial"/>
                <w:sz w:val="20"/>
                <w:szCs w:val="20"/>
              </w:rPr>
            </w:pPr>
            <w:r w:rsidRPr="0091349B">
              <w:rPr>
                <w:rFonts w:ascii="Arial" w:hAnsi="Arial" w:cs="Arial"/>
                <w:sz w:val="20"/>
                <w:szCs w:val="20"/>
              </w:rPr>
              <w:t>Not Required</w:t>
            </w:r>
          </w:p>
        </w:tc>
        <w:tc>
          <w:tcPr>
            <w:tcW w:w="2016" w:type="dxa"/>
          </w:tcPr>
          <w:p w14:paraId="004810F5" w14:textId="77777777" w:rsidR="0019621F" w:rsidRDefault="007A12BC">
            <w:pPr>
              <w:spacing w:before="60" w:after="120" w:line="240" w:lineRule="auto"/>
              <w:jc w:val="center"/>
              <w:rPr>
                <w:rFonts w:ascii="Arial" w:hAnsi="Arial" w:cs="Arial"/>
                <w:sz w:val="20"/>
                <w:szCs w:val="20"/>
              </w:rPr>
            </w:pPr>
            <w:r w:rsidRPr="0091349B">
              <w:rPr>
                <w:rFonts w:ascii="Arial" w:hAnsi="Arial" w:cs="Arial"/>
                <w:sz w:val="20"/>
                <w:szCs w:val="20"/>
              </w:rPr>
              <w:t>DRAFT Required</w:t>
            </w:r>
          </w:p>
        </w:tc>
        <w:tc>
          <w:tcPr>
            <w:tcW w:w="2016" w:type="dxa"/>
          </w:tcPr>
          <w:p w14:paraId="67BF2F03" w14:textId="77777777" w:rsidR="0019621F" w:rsidRDefault="007A12BC">
            <w:pPr>
              <w:spacing w:before="60" w:after="120" w:line="240" w:lineRule="auto"/>
              <w:jc w:val="center"/>
              <w:rPr>
                <w:rFonts w:ascii="Arial" w:hAnsi="Arial" w:cs="Arial"/>
                <w:sz w:val="20"/>
                <w:szCs w:val="20"/>
              </w:rPr>
            </w:pPr>
            <w:r w:rsidRPr="0091349B">
              <w:rPr>
                <w:rFonts w:ascii="Arial" w:hAnsi="Arial" w:cs="Arial"/>
                <w:sz w:val="20"/>
                <w:szCs w:val="20"/>
              </w:rPr>
              <w:t>Required</w:t>
            </w:r>
          </w:p>
        </w:tc>
      </w:tr>
      <w:tr w:rsidR="00BE0E7E" w:rsidRPr="0017587F" w14:paraId="7C255D78" w14:textId="77777777" w:rsidTr="000E30F0">
        <w:tc>
          <w:tcPr>
            <w:tcW w:w="3798" w:type="dxa"/>
          </w:tcPr>
          <w:p w14:paraId="19D60B91" w14:textId="77777777" w:rsidR="0019621F" w:rsidRDefault="00495AFA">
            <w:pPr>
              <w:spacing w:before="60" w:after="120" w:line="240" w:lineRule="auto"/>
              <w:rPr>
                <w:rFonts w:ascii="Arial" w:hAnsi="Arial" w:cs="Arial"/>
                <w:sz w:val="20"/>
                <w:szCs w:val="20"/>
              </w:rPr>
            </w:pPr>
            <w:r w:rsidRPr="0091349B">
              <w:rPr>
                <w:rFonts w:ascii="Arial" w:hAnsi="Arial" w:cs="Arial"/>
                <w:sz w:val="20"/>
                <w:szCs w:val="20"/>
              </w:rPr>
              <w:t>Essential Document Packet Complete</w:t>
            </w:r>
          </w:p>
        </w:tc>
        <w:tc>
          <w:tcPr>
            <w:tcW w:w="2016" w:type="dxa"/>
          </w:tcPr>
          <w:p w14:paraId="43867026" w14:textId="77777777" w:rsidR="0019621F" w:rsidRDefault="00495AFA">
            <w:pPr>
              <w:spacing w:before="60" w:after="120" w:line="240" w:lineRule="auto"/>
              <w:jc w:val="center"/>
              <w:rPr>
                <w:rFonts w:ascii="Arial" w:hAnsi="Arial" w:cs="Arial"/>
                <w:sz w:val="20"/>
                <w:szCs w:val="20"/>
              </w:rPr>
            </w:pPr>
            <w:r>
              <w:rPr>
                <w:rFonts w:ascii="Arial" w:hAnsi="Arial" w:cs="Arial"/>
                <w:sz w:val="20"/>
                <w:szCs w:val="20"/>
              </w:rPr>
              <w:t xml:space="preserve">Not </w:t>
            </w:r>
            <w:r w:rsidRPr="0091349B">
              <w:rPr>
                <w:rFonts w:ascii="Arial" w:hAnsi="Arial" w:cs="Arial"/>
                <w:sz w:val="20"/>
                <w:szCs w:val="20"/>
              </w:rPr>
              <w:t>Required</w:t>
            </w:r>
          </w:p>
        </w:tc>
        <w:tc>
          <w:tcPr>
            <w:tcW w:w="2016" w:type="dxa"/>
          </w:tcPr>
          <w:p w14:paraId="17893DAB" w14:textId="77777777" w:rsidR="0019621F" w:rsidRDefault="00495AFA">
            <w:pPr>
              <w:spacing w:before="60" w:after="120" w:line="240" w:lineRule="auto"/>
              <w:jc w:val="center"/>
              <w:rPr>
                <w:rFonts w:ascii="Arial" w:hAnsi="Arial" w:cs="Arial"/>
                <w:sz w:val="20"/>
                <w:szCs w:val="20"/>
              </w:rPr>
            </w:pPr>
            <w:r w:rsidRPr="0091349B">
              <w:rPr>
                <w:rFonts w:ascii="Arial" w:hAnsi="Arial" w:cs="Arial"/>
                <w:sz w:val="20"/>
                <w:szCs w:val="20"/>
              </w:rPr>
              <w:t>Required</w:t>
            </w:r>
          </w:p>
        </w:tc>
        <w:tc>
          <w:tcPr>
            <w:tcW w:w="2016" w:type="dxa"/>
          </w:tcPr>
          <w:p w14:paraId="070F9720" w14:textId="77777777" w:rsidR="0019621F" w:rsidRDefault="00495AFA">
            <w:pPr>
              <w:spacing w:before="60" w:after="120" w:line="240" w:lineRule="auto"/>
              <w:jc w:val="center"/>
              <w:rPr>
                <w:rFonts w:ascii="Arial" w:hAnsi="Arial" w:cs="Arial"/>
                <w:sz w:val="20"/>
                <w:szCs w:val="20"/>
              </w:rPr>
            </w:pPr>
            <w:r w:rsidRPr="0091349B">
              <w:rPr>
                <w:rFonts w:ascii="Arial" w:hAnsi="Arial" w:cs="Arial"/>
                <w:sz w:val="20"/>
                <w:szCs w:val="20"/>
              </w:rPr>
              <w:t>Required</w:t>
            </w:r>
          </w:p>
        </w:tc>
      </w:tr>
      <w:tr w:rsidR="00BE0E7E" w:rsidRPr="0017587F" w14:paraId="4F0D9591" w14:textId="77777777" w:rsidTr="000E30F0">
        <w:tc>
          <w:tcPr>
            <w:tcW w:w="3798" w:type="dxa"/>
          </w:tcPr>
          <w:p w14:paraId="407FC34C" w14:textId="77777777" w:rsidR="0019621F" w:rsidRDefault="00495AFA">
            <w:pPr>
              <w:spacing w:before="60" w:after="120" w:line="240" w:lineRule="auto"/>
              <w:rPr>
                <w:rFonts w:ascii="Arial" w:hAnsi="Arial" w:cs="Arial"/>
                <w:sz w:val="20"/>
                <w:szCs w:val="20"/>
              </w:rPr>
            </w:pPr>
            <w:r w:rsidRPr="0091349B">
              <w:rPr>
                <w:rFonts w:ascii="Arial" w:hAnsi="Arial" w:cs="Arial"/>
                <w:sz w:val="20"/>
                <w:szCs w:val="20"/>
              </w:rPr>
              <w:t>Essential Document Packet Approved by CROMS/OCTOM</w:t>
            </w:r>
          </w:p>
        </w:tc>
        <w:tc>
          <w:tcPr>
            <w:tcW w:w="2016" w:type="dxa"/>
          </w:tcPr>
          <w:p w14:paraId="00741A72" w14:textId="77777777" w:rsidR="0019621F" w:rsidRDefault="00495AFA">
            <w:pPr>
              <w:spacing w:before="60" w:after="120" w:line="240" w:lineRule="auto"/>
              <w:jc w:val="center"/>
              <w:rPr>
                <w:rFonts w:ascii="Arial" w:hAnsi="Arial" w:cs="Arial"/>
                <w:sz w:val="20"/>
                <w:szCs w:val="20"/>
              </w:rPr>
            </w:pPr>
            <w:r w:rsidRPr="0091349B">
              <w:rPr>
                <w:rFonts w:ascii="Arial" w:hAnsi="Arial" w:cs="Arial"/>
                <w:sz w:val="20"/>
                <w:szCs w:val="20"/>
              </w:rPr>
              <w:t>Required</w:t>
            </w:r>
          </w:p>
        </w:tc>
        <w:tc>
          <w:tcPr>
            <w:tcW w:w="2016" w:type="dxa"/>
          </w:tcPr>
          <w:p w14:paraId="0127471B" w14:textId="77777777" w:rsidR="0019621F" w:rsidRDefault="00495AFA">
            <w:pPr>
              <w:spacing w:before="60" w:after="120" w:line="240" w:lineRule="auto"/>
              <w:jc w:val="center"/>
              <w:rPr>
                <w:rFonts w:ascii="Arial" w:hAnsi="Arial" w:cs="Arial"/>
                <w:sz w:val="20"/>
                <w:szCs w:val="20"/>
              </w:rPr>
            </w:pPr>
            <w:r w:rsidRPr="0091349B">
              <w:rPr>
                <w:rFonts w:ascii="Arial" w:hAnsi="Arial" w:cs="Arial"/>
                <w:sz w:val="20"/>
                <w:szCs w:val="20"/>
              </w:rPr>
              <w:t>Not Required</w:t>
            </w:r>
          </w:p>
        </w:tc>
        <w:tc>
          <w:tcPr>
            <w:tcW w:w="2016" w:type="dxa"/>
          </w:tcPr>
          <w:p w14:paraId="5ADF996B" w14:textId="77777777" w:rsidR="0019621F" w:rsidRDefault="00495AFA">
            <w:pPr>
              <w:spacing w:before="60" w:after="120" w:line="240" w:lineRule="auto"/>
              <w:jc w:val="center"/>
              <w:rPr>
                <w:rFonts w:ascii="Arial" w:hAnsi="Arial" w:cs="Arial"/>
                <w:sz w:val="20"/>
                <w:szCs w:val="20"/>
              </w:rPr>
            </w:pPr>
            <w:r w:rsidRPr="0091349B">
              <w:rPr>
                <w:rFonts w:ascii="Arial" w:hAnsi="Arial" w:cs="Arial"/>
                <w:sz w:val="20"/>
                <w:szCs w:val="20"/>
              </w:rPr>
              <w:t>Required</w:t>
            </w:r>
          </w:p>
        </w:tc>
      </w:tr>
      <w:tr w:rsidR="00BE0E7E" w:rsidRPr="0017587F" w14:paraId="480EBC31" w14:textId="77777777" w:rsidTr="000E30F0">
        <w:tc>
          <w:tcPr>
            <w:tcW w:w="3798" w:type="dxa"/>
          </w:tcPr>
          <w:p w14:paraId="572FB849" w14:textId="77777777" w:rsidR="0019621F" w:rsidRDefault="00495AFA">
            <w:pPr>
              <w:spacing w:before="60" w:after="120" w:line="240" w:lineRule="auto"/>
              <w:rPr>
                <w:rFonts w:ascii="Arial" w:hAnsi="Arial" w:cs="Arial"/>
                <w:sz w:val="20"/>
                <w:szCs w:val="20"/>
              </w:rPr>
            </w:pPr>
            <w:r w:rsidRPr="0091349B">
              <w:rPr>
                <w:rFonts w:ascii="Arial" w:hAnsi="Arial" w:cs="Arial"/>
                <w:sz w:val="20"/>
                <w:szCs w:val="20"/>
              </w:rPr>
              <w:t>Safety Monitoring Plan</w:t>
            </w:r>
          </w:p>
        </w:tc>
        <w:tc>
          <w:tcPr>
            <w:tcW w:w="2016" w:type="dxa"/>
          </w:tcPr>
          <w:p w14:paraId="5CBDB5D7" w14:textId="77777777" w:rsidR="0019621F" w:rsidRDefault="00495AFA">
            <w:pPr>
              <w:spacing w:before="60" w:after="120" w:line="240" w:lineRule="auto"/>
              <w:jc w:val="center"/>
              <w:rPr>
                <w:rFonts w:ascii="Arial" w:hAnsi="Arial" w:cs="Arial"/>
                <w:sz w:val="20"/>
                <w:szCs w:val="20"/>
              </w:rPr>
            </w:pPr>
            <w:r w:rsidRPr="0091349B">
              <w:rPr>
                <w:rFonts w:ascii="Arial" w:hAnsi="Arial" w:cs="Arial"/>
                <w:sz w:val="20"/>
                <w:szCs w:val="20"/>
              </w:rPr>
              <w:t>Required</w:t>
            </w:r>
          </w:p>
        </w:tc>
        <w:tc>
          <w:tcPr>
            <w:tcW w:w="2016" w:type="dxa"/>
          </w:tcPr>
          <w:p w14:paraId="74F5D377" w14:textId="77777777" w:rsidR="0019621F" w:rsidRDefault="00495AFA">
            <w:pPr>
              <w:spacing w:before="60" w:after="120" w:line="240" w:lineRule="auto"/>
              <w:jc w:val="center"/>
              <w:rPr>
                <w:rFonts w:ascii="Arial" w:hAnsi="Arial" w:cs="Arial"/>
                <w:sz w:val="20"/>
                <w:szCs w:val="20"/>
              </w:rPr>
            </w:pPr>
            <w:r w:rsidRPr="0091349B">
              <w:rPr>
                <w:rFonts w:ascii="Arial" w:hAnsi="Arial" w:cs="Arial"/>
                <w:sz w:val="20"/>
                <w:szCs w:val="20"/>
              </w:rPr>
              <w:t>DRAFT Required</w:t>
            </w:r>
          </w:p>
        </w:tc>
        <w:tc>
          <w:tcPr>
            <w:tcW w:w="2016" w:type="dxa"/>
          </w:tcPr>
          <w:p w14:paraId="15BE7EAF" w14:textId="77777777" w:rsidR="0019621F" w:rsidRDefault="00495AFA">
            <w:pPr>
              <w:spacing w:before="60" w:after="120" w:line="240" w:lineRule="auto"/>
              <w:jc w:val="center"/>
              <w:rPr>
                <w:rFonts w:ascii="Arial" w:hAnsi="Arial" w:cs="Arial"/>
                <w:sz w:val="20"/>
                <w:szCs w:val="20"/>
              </w:rPr>
            </w:pPr>
            <w:r w:rsidRPr="0091349B">
              <w:rPr>
                <w:rFonts w:ascii="Arial" w:hAnsi="Arial" w:cs="Arial"/>
                <w:sz w:val="20"/>
                <w:szCs w:val="20"/>
              </w:rPr>
              <w:t>Required</w:t>
            </w:r>
          </w:p>
        </w:tc>
      </w:tr>
      <w:tr w:rsidR="00BE0E7E" w:rsidRPr="0017587F" w14:paraId="4D4D90AA" w14:textId="77777777" w:rsidTr="000E30F0">
        <w:tc>
          <w:tcPr>
            <w:tcW w:w="3798" w:type="dxa"/>
          </w:tcPr>
          <w:p w14:paraId="78567B9D" w14:textId="77777777" w:rsidR="0019621F" w:rsidRDefault="00E058EC">
            <w:pPr>
              <w:spacing w:before="60" w:after="120" w:line="240" w:lineRule="auto"/>
              <w:rPr>
                <w:rFonts w:ascii="Arial" w:hAnsi="Arial" w:cs="Arial"/>
                <w:sz w:val="20"/>
                <w:szCs w:val="20"/>
              </w:rPr>
            </w:pPr>
            <w:r w:rsidRPr="0091349B">
              <w:rPr>
                <w:rFonts w:ascii="Arial" w:hAnsi="Arial" w:cs="Arial"/>
                <w:sz w:val="20"/>
                <w:szCs w:val="20"/>
              </w:rPr>
              <w:t>Case Report Forms</w:t>
            </w:r>
          </w:p>
        </w:tc>
        <w:tc>
          <w:tcPr>
            <w:tcW w:w="2016" w:type="dxa"/>
          </w:tcPr>
          <w:p w14:paraId="28D131BE" w14:textId="77777777"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Not Required</w:t>
            </w:r>
          </w:p>
        </w:tc>
        <w:tc>
          <w:tcPr>
            <w:tcW w:w="2016" w:type="dxa"/>
          </w:tcPr>
          <w:p w14:paraId="7C6E1BAA" w14:textId="77777777"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Recommended</w:t>
            </w:r>
          </w:p>
        </w:tc>
        <w:tc>
          <w:tcPr>
            <w:tcW w:w="2016" w:type="dxa"/>
          </w:tcPr>
          <w:p w14:paraId="27283A33" w14:textId="77777777"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Required</w:t>
            </w:r>
          </w:p>
        </w:tc>
      </w:tr>
      <w:tr w:rsidR="00BE0E7E" w:rsidRPr="0017587F" w14:paraId="03ACAFA8" w14:textId="77777777" w:rsidTr="000E30F0">
        <w:tc>
          <w:tcPr>
            <w:tcW w:w="3798" w:type="dxa"/>
          </w:tcPr>
          <w:p w14:paraId="33B3B74E" w14:textId="77777777" w:rsidR="0019621F" w:rsidRDefault="00E058EC">
            <w:pPr>
              <w:spacing w:before="60" w:after="120" w:line="240" w:lineRule="auto"/>
              <w:rPr>
                <w:rFonts w:ascii="Arial" w:hAnsi="Arial" w:cs="Arial"/>
                <w:sz w:val="20"/>
                <w:szCs w:val="20"/>
              </w:rPr>
            </w:pPr>
            <w:r>
              <w:rPr>
                <w:rFonts w:ascii="Arial" w:hAnsi="Arial" w:cs="Arial"/>
                <w:sz w:val="20"/>
                <w:szCs w:val="20"/>
              </w:rPr>
              <w:t>Data Management</w:t>
            </w:r>
            <w:r w:rsidRPr="0091349B">
              <w:rPr>
                <w:rFonts w:ascii="Arial" w:hAnsi="Arial" w:cs="Arial"/>
                <w:sz w:val="20"/>
                <w:szCs w:val="20"/>
              </w:rPr>
              <w:t xml:space="preserve"> System</w:t>
            </w:r>
          </w:p>
        </w:tc>
        <w:tc>
          <w:tcPr>
            <w:tcW w:w="2016" w:type="dxa"/>
          </w:tcPr>
          <w:p w14:paraId="108BF43F" w14:textId="77777777"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Not Required</w:t>
            </w:r>
          </w:p>
        </w:tc>
        <w:tc>
          <w:tcPr>
            <w:tcW w:w="2016" w:type="dxa"/>
          </w:tcPr>
          <w:p w14:paraId="6425BE3F" w14:textId="77777777"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Recommended</w:t>
            </w:r>
          </w:p>
        </w:tc>
        <w:tc>
          <w:tcPr>
            <w:tcW w:w="2016" w:type="dxa"/>
          </w:tcPr>
          <w:p w14:paraId="17005AEB" w14:textId="77777777"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Required</w:t>
            </w:r>
          </w:p>
        </w:tc>
      </w:tr>
      <w:tr w:rsidR="00BE0E7E" w:rsidRPr="0017587F" w14:paraId="381A1F91" w14:textId="77777777" w:rsidTr="000E30F0">
        <w:tc>
          <w:tcPr>
            <w:tcW w:w="3798" w:type="dxa"/>
          </w:tcPr>
          <w:p w14:paraId="12DB820C" w14:textId="77777777" w:rsidR="0019621F" w:rsidRDefault="00BA1A81">
            <w:pPr>
              <w:spacing w:before="60" w:after="120" w:line="240" w:lineRule="auto"/>
              <w:rPr>
                <w:rFonts w:ascii="Arial" w:hAnsi="Arial" w:cs="Arial"/>
                <w:sz w:val="20"/>
                <w:szCs w:val="20"/>
              </w:rPr>
            </w:pPr>
            <w:r>
              <w:rPr>
                <w:rFonts w:ascii="Arial" w:hAnsi="Arial" w:cs="Arial"/>
                <w:sz w:val="20"/>
                <w:szCs w:val="20"/>
              </w:rPr>
              <w:t xml:space="preserve">Clinical </w:t>
            </w:r>
            <w:r w:rsidR="004634A1">
              <w:rPr>
                <w:rFonts w:ascii="Arial" w:hAnsi="Arial" w:cs="Arial"/>
                <w:sz w:val="20"/>
                <w:szCs w:val="20"/>
              </w:rPr>
              <w:t>Data Management Plan</w:t>
            </w:r>
          </w:p>
        </w:tc>
        <w:tc>
          <w:tcPr>
            <w:tcW w:w="2016" w:type="dxa"/>
          </w:tcPr>
          <w:p w14:paraId="0A18BAD0" w14:textId="77777777" w:rsidR="0019621F" w:rsidRDefault="004634A1">
            <w:pPr>
              <w:spacing w:before="60" w:after="120" w:line="240" w:lineRule="auto"/>
              <w:jc w:val="center"/>
              <w:rPr>
                <w:rFonts w:ascii="Arial" w:hAnsi="Arial" w:cs="Arial"/>
                <w:sz w:val="20"/>
                <w:szCs w:val="20"/>
              </w:rPr>
            </w:pPr>
            <w:r>
              <w:rPr>
                <w:rFonts w:ascii="Arial" w:hAnsi="Arial" w:cs="Arial"/>
                <w:sz w:val="20"/>
                <w:szCs w:val="20"/>
              </w:rPr>
              <w:t>Not Required</w:t>
            </w:r>
          </w:p>
        </w:tc>
        <w:tc>
          <w:tcPr>
            <w:tcW w:w="2016" w:type="dxa"/>
          </w:tcPr>
          <w:p w14:paraId="71C376BB" w14:textId="77777777" w:rsidR="0019621F" w:rsidRDefault="004634A1">
            <w:pPr>
              <w:spacing w:before="60" w:after="120" w:line="240" w:lineRule="auto"/>
              <w:jc w:val="center"/>
              <w:rPr>
                <w:rFonts w:ascii="Arial" w:hAnsi="Arial" w:cs="Arial"/>
                <w:sz w:val="20"/>
                <w:szCs w:val="20"/>
              </w:rPr>
            </w:pPr>
            <w:r>
              <w:rPr>
                <w:rFonts w:ascii="Arial" w:hAnsi="Arial" w:cs="Arial"/>
                <w:sz w:val="20"/>
                <w:szCs w:val="20"/>
              </w:rPr>
              <w:t>Recommended</w:t>
            </w:r>
          </w:p>
        </w:tc>
        <w:tc>
          <w:tcPr>
            <w:tcW w:w="2016" w:type="dxa"/>
          </w:tcPr>
          <w:p w14:paraId="72AED479" w14:textId="77777777" w:rsidR="0019621F" w:rsidRDefault="004634A1">
            <w:pPr>
              <w:spacing w:before="60" w:after="120" w:line="240" w:lineRule="auto"/>
              <w:jc w:val="center"/>
              <w:rPr>
                <w:rFonts w:ascii="Arial" w:hAnsi="Arial" w:cs="Arial"/>
                <w:sz w:val="20"/>
                <w:szCs w:val="20"/>
              </w:rPr>
            </w:pPr>
            <w:r>
              <w:rPr>
                <w:rFonts w:ascii="Arial" w:hAnsi="Arial" w:cs="Arial"/>
                <w:sz w:val="20"/>
                <w:szCs w:val="20"/>
              </w:rPr>
              <w:t>DRAFT Required</w:t>
            </w:r>
          </w:p>
        </w:tc>
      </w:tr>
      <w:tr w:rsidR="00BE0E7E" w:rsidRPr="0017587F" w14:paraId="7DEF3C8F" w14:textId="77777777" w:rsidTr="000E30F0">
        <w:tc>
          <w:tcPr>
            <w:tcW w:w="3798" w:type="dxa"/>
          </w:tcPr>
          <w:p w14:paraId="5D39D005" w14:textId="77777777" w:rsidR="0019621F" w:rsidRDefault="00E058EC">
            <w:pPr>
              <w:spacing w:before="60" w:after="120" w:line="240" w:lineRule="auto"/>
              <w:rPr>
                <w:rFonts w:ascii="Arial" w:hAnsi="Arial" w:cs="Arial"/>
                <w:sz w:val="20"/>
                <w:szCs w:val="20"/>
              </w:rPr>
            </w:pPr>
            <w:r w:rsidRPr="0091349B">
              <w:rPr>
                <w:rFonts w:ascii="Arial" w:hAnsi="Arial" w:cs="Arial"/>
                <w:sz w:val="20"/>
                <w:szCs w:val="20"/>
              </w:rPr>
              <w:t>Quality Management Plan</w:t>
            </w:r>
          </w:p>
        </w:tc>
        <w:tc>
          <w:tcPr>
            <w:tcW w:w="2016" w:type="dxa"/>
          </w:tcPr>
          <w:p w14:paraId="0DEE4190" w14:textId="77777777" w:rsidR="0019621F" w:rsidRDefault="00E058EC">
            <w:pPr>
              <w:spacing w:before="60" w:after="120" w:line="240" w:lineRule="auto"/>
              <w:jc w:val="center"/>
              <w:rPr>
                <w:rFonts w:ascii="Arial" w:hAnsi="Arial" w:cs="Arial"/>
                <w:sz w:val="20"/>
                <w:szCs w:val="20"/>
              </w:rPr>
            </w:pPr>
            <w:r>
              <w:rPr>
                <w:rFonts w:ascii="Arial" w:hAnsi="Arial" w:cs="Arial"/>
                <w:sz w:val="20"/>
                <w:szCs w:val="20"/>
              </w:rPr>
              <w:t>Not Required</w:t>
            </w:r>
          </w:p>
        </w:tc>
        <w:tc>
          <w:tcPr>
            <w:tcW w:w="2016" w:type="dxa"/>
          </w:tcPr>
          <w:p w14:paraId="0855DA74" w14:textId="77777777"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DRAFT Required</w:t>
            </w:r>
          </w:p>
        </w:tc>
        <w:tc>
          <w:tcPr>
            <w:tcW w:w="2016" w:type="dxa"/>
          </w:tcPr>
          <w:p w14:paraId="60AA3CE6" w14:textId="77777777"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Required</w:t>
            </w:r>
          </w:p>
        </w:tc>
      </w:tr>
      <w:tr w:rsidR="00BE0E7E" w:rsidRPr="0017587F" w14:paraId="59BBB111" w14:textId="77777777" w:rsidTr="000E30F0">
        <w:tc>
          <w:tcPr>
            <w:tcW w:w="3798" w:type="dxa"/>
          </w:tcPr>
          <w:p w14:paraId="5DF34790" w14:textId="77777777" w:rsidR="0019621F" w:rsidRDefault="00E058EC">
            <w:pPr>
              <w:spacing w:before="60" w:after="120" w:line="240" w:lineRule="auto"/>
              <w:rPr>
                <w:rFonts w:ascii="Arial" w:hAnsi="Arial" w:cs="Arial"/>
                <w:sz w:val="20"/>
                <w:szCs w:val="20"/>
              </w:rPr>
            </w:pPr>
            <w:r w:rsidRPr="0091349B">
              <w:rPr>
                <w:rFonts w:ascii="Arial" w:hAnsi="Arial" w:cs="Arial"/>
                <w:sz w:val="20"/>
                <w:szCs w:val="20"/>
              </w:rPr>
              <w:t>Clinical Monitoring Plan</w:t>
            </w:r>
          </w:p>
        </w:tc>
        <w:tc>
          <w:tcPr>
            <w:tcW w:w="2016" w:type="dxa"/>
          </w:tcPr>
          <w:p w14:paraId="590D44D7" w14:textId="77777777"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Not Required</w:t>
            </w:r>
          </w:p>
        </w:tc>
        <w:tc>
          <w:tcPr>
            <w:tcW w:w="2016" w:type="dxa"/>
          </w:tcPr>
          <w:p w14:paraId="6D16CAAA" w14:textId="77777777"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Not Required</w:t>
            </w:r>
          </w:p>
        </w:tc>
        <w:tc>
          <w:tcPr>
            <w:tcW w:w="2016" w:type="dxa"/>
          </w:tcPr>
          <w:p w14:paraId="1E69BE71" w14:textId="77777777" w:rsidR="0019621F" w:rsidRDefault="00E058EC">
            <w:pPr>
              <w:spacing w:before="60" w:after="120" w:line="240" w:lineRule="auto"/>
              <w:jc w:val="center"/>
              <w:rPr>
                <w:rFonts w:ascii="Arial" w:hAnsi="Arial" w:cs="Arial"/>
                <w:sz w:val="20"/>
                <w:szCs w:val="20"/>
              </w:rPr>
            </w:pPr>
            <w:r>
              <w:rPr>
                <w:rFonts w:ascii="Arial" w:hAnsi="Arial" w:cs="Arial"/>
                <w:sz w:val="20"/>
                <w:szCs w:val="20"/>
              </w:rPr>
              <w:t>Recommended</w:t>
            </w:r>
          </w:p>
        </w:tc>
      </w:tr>
      <w:tr w:rsidR="00BE0E7E" w:rsidRPr="0017587F" w14:paraId="5025E952" w14:textId="77777777" w:rsidTr="000E30F0">
        <w:tc>
          <w:tcPr>
            <w:tcW w:w="3798" w:type="dxa"/>
          </w:tcPr>
          <w:p w14:paraId="1084C5FA" w14:textId="77777777" w:rsidR="0019621F" w:rsidRDefault="00E058EC">
            <w:pPr>
              <w:spacing w:before="60" w:after="120" w:line="240" w:lineRule="auto"/>
              <w:rPr>
                <w:rFonts w:ascii="Arial" w:hAnsi="Arial" w:cs="Arial"/>
                <w:sz w:val="20"/>
                <w:szCs w:val="20"/>
              </w:rPr>
            </w:pPr>
            <w:r w:rsidRPr="0091349B">
              <w:rPr>
                <w:rFonts w:ascii="Arial" w:hAnsi="Arial" w:cs="Arial"/>
                <w:sz w:val="20"/>
                <w:szCs w:val="20"/>
              </w:rPr>
              <w:t>Human Subjects Training</w:t>
            </w:r>
          </w:p>
        </w:tc>
        <w:tc>
          <w:tcPr>
            <w:tcW w:w="2016" w:type="dxa"/>
          </w:tcPr>
          <w:p w14:paraId="50ABB168" w14:textId="77777777" w:rsidR="0019621F" w:rsidRDefault="00E058EC">
            <w:pPr>
              <w:spacing w:before="60" w:after="120" w:line="240" w:lineRule="auto"/>
              <w:jc w:val="center"/>
              <w:rPr>
                <w:rFonts w:ascii="Arial" w:hAnsi="Arial" w:cs="Arial"/>
                <w:sz w:val="20"/>
                <w:szCs w:val="20"/>
              </w:rPr>
            </w:pPr>
            <w:r>
              <w:rPr>
                <w:rFonts w:ascii="Arial" w:hAnsi="Arial" w:cs="Arial"/>
                <w:sz w:val="20"/>
                <w:szCs w:val="20"/>
              </w:rPr>
              <w:t xml:space="preserve">Required </w:t>
            </w:r>
            <w:r w:rsidR="00F24824">
              <w:rPr>
                <w:rFonts w:ascii="Arial" w:hAnsi="Arial" w:cs="Arial"/>
                <w:sz w:val="20"/>
                <w:szCs w:val="20"/>
              </w:rPr>
              <w:t>p</w:t>
            </w:r>
            <w:r>
              <w:rPr>
                <w:rFonts w:ascii="Arial" w:hAnsi="Arial" w:cs="Arial"/>
                <w:sz w:val="20"/>
                <w:szCs w:val="20"/>
              </w:rPr>
              <w:t>er Grant</w:t>
            </w:r>
          </w:p>
        </w:tc>
        <w:tc>
          <w:tcPr>
            <w:tcW w:w="2016" w:type="dxa"/>
          </w:tcPr>
          <w:p w14:paraId="65C1B55A" w14:textId="77777777"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Not Required</w:t>
            </w:r>
          </w:p>
        </w:tc>
        <w:tc>
          <w:tcPr>
            <w:tcW w:w="2016" w:type="dxa"/>
          </w:tcPr>
          <w:p w14:paraId="53571DFA" w14:textId="77777777"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Required</w:t>
            </w:r>
          </w:p>
        </w:tc>
      </w:tr>
      <w:tr w:rsidR="00BE0E7E" w:rsidRPr="0017587F" w14:paraId="519C11DA" w14:textId="77777777" w:rsidTr="000E30F0">
        <w:tc>
          <w:tcPr>
            <w:tcW w:w="3798" w:type="dxa"/>
          </w:tcPr>
          <w:p w14:paraId="5974BF09" w14:textId="77777777" w:rsidR="0019621F" w:rsidRDefault="00E058EC">
            <w:pPr>
              <w:spacing w:before="60" w:after="120" w:line="240" w:lineRule="auto"/>
              <w:rPr>
                <w:rFonts w:ascii="Arial" w:hAnsi="Arial" w:cs="Arial"/>
                <w:sz w:val="20"/>
                <w:szCs w:val="20"/>
              </w:rPr>
            </w:pPr>
            <w:r w:rsidRPr="0091349B">
              <w:rPr>
                <w:rFonts w:ascii="Arial" w:hAnsi="Arial" w:cs="Arial"/>
                <w:sz w:val="20"/>
                <w:szCs w:val="20"/>
              </w:rPr>
              <w:t>IND or IDE</w:t>
            </w:r>
            <w:r w:rsidRPr="00250009">
              <w:rPr>
                <w:rFonts w:ascii="Arial" w:hAnsi="Arial" w:cs="Arial"/>
                <w:sz w:val="20"/>
                <w:szCs w:val="20"/>
                <w:vertAlign w:val="superscript"/>
              </w:rPr>
              <w:t>1</w:t>
            </w:r>
          </w:p>
        </w:tc>
        <w:tc>
          <w:tcPr>
            <w:tcW w:w="2016" w:type="dxa"/>
          </w:tcPr>
          <w:p w14:paraId="6ED1AAB6" w14:textId="77777777"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Required</w:t>
            </w:r>
          </w:p>
        </w:tc>
        <w:tc>
          <w:tcPr>
            <w:tcW w:w="2016" w:type="dxa"/>
          </w:tcPr>
          <w:p w14:paraId="7C8EFE47" w14:textId="77777777"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Required</w:t>
            </w:r>
          </w:p>
        </w:tc>
        <w:tc>
          <w:tcPr>
            <w:tcW w:w="2016" w:type="dxa"/>
          </w:tcPr>
          <w:p w14:paraId="14BDD4DE" w14:textId="77777777"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Required</w:t>
            </w:r>
          </w:p>
        </w:tc>
      </w:tr>
      <w:tr w:rsidR="00BE0E7E" w:rsidRPr="0017587F" w14:paraId="67CA1363" w14:textId="77777777" w:rsidTr="000E30F0">
        <w:tc>
          <w:tcPr>
            <w:tcW w:w="3798" w:type="dxa"/>
          </w:tcPr>
          <w:p w14:paraId="6B65C3CA" w14:textId="77777777" w:rsidR="0019621F" w:rsidRDefault="00E058EC">
            <w:pPr>
              <w:spacing w:before="60" w:after="120" w:line="240" w:lineRule="auto"/>
              <w:rPr>
                <w:rFonts w:ascii="Arial" w:hAnsi="Arial" w:cs="Arial"/>
                <w:sz w:val="20"/>
                <w:szCs w:val="20"/>
              </w:rPr>
            </w:pPr>
            <w:r w:rsidRPr="0091349B">
              <w:rPr>
                <w:rFonts w:ascii="Arial" w:hAnsi="Arial" w:cs="Arial"/>
                <w:sz w:val="20"/>
                <w:szCs w:val="20"/>
              </w:rPr>
              <w:t>Targeted/Planned Enrollment Table (PHS 398)</w:t>
            </w:r>
          </w:p>
        </w:tc>
        <w:tc>
          <w:tcPr>
            <w:tcW w:w="2016" w:type="dxa"/>
          </w:tcPr>
          <w:p w14:paraId="3A15164B" w14:textId="77777777"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Required</w:t>
            </w:r>
            <w:r>
              <w:rPr>
                <w:rFonts w:ascii="Arial" w:hAnsi="Arial" w:cs="Arial"/>
                <w:sz w:val="20"/>
                <w:szCs w:val="20"/>
              </w:rPr>
              <w:t xml:space="preserve"> per Grant</w:t>
            </w:r>
          </w:p>
        </w:tc>
        <w:tc>
          <w:tcPr>
            <w:tcW w:w="2016" w:type="dxa"/>
          </w:tcPr>
          <w:p w14:paraId="5605031A" w14:textId="77777777"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Not Required</w:t>
            </w:r>
          </w:p>
        </w:tc>
        <w:tc>
          <w:tcPr>
            <w:tcW w:w="2016" w:type="dxa"/>
          </w:tcPr>
          <w:p w14:paraId="1954DDB4" w14:textId="77777777"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Required</w:t>
            </w:r>
          </w:p>
        </w:tc>
      </w:tr>
      <w:tr w:rsidR="00BE0E7E" w:rsidRPr="0017587F" w14:paraId="5522FB90" w14:textId="77777777" w:rsidTr="000E30F0">
        <w:tc>
          <w:tcPr>
            <w:tcW w:w="3798" w:type="dxa"/>
          </w:tcPr>
          <w:p w14:paraId="4E56A45E" w14:textId="77777777" w:rsidR="0019621F" w:rsidRDefault="00E058EC">
            <w:pPr>
              <w:spacing w:before="60" w:after="120" w:line="240" w:lineRule="auto"/>
              <w:rPr>
                <w:rFonts w:ascii="Arial" w:hAnsi="Arial" w:cs="Arial"/>
                <w:sz w:val="20"/>
                <w:szCs w:val="20"/>
              </w:rPr>
            </w:pPr>
            <w:r w:rsidRPr="0091349B">
              <w:rPr>
                <w:rFonts w:ascii="Arial" w:hAnsi="Arial" w:cs="Arial"/>
                <w:sz w:val="20"/>
                <w:szCs w:val="20"/>
              </w:rPr>
              <w:t>Approval of Recombinant DNA Advisory Committee and Institutional Biosafety Committee</w:t>
            </w:r>
            <w:r w:rsidR="005D279F" w:rsidRPr="00250009">
              <w:rPr>
                <w:rFonts w:ascii="Arial" w:hAnsi="Arial" w:cs="Arial"/>
                <w:sz w:val="20"/>
                <w:szCs w:val="20"/>
                <w:vertAlign w:val="superscript"/>
              </w:rPr>
              <w:t>1</w:t>
            </w:r>
          </w:p>
        </w:tc>
        <w:tc>
          <w:tcPr>
            <w:tcW w:w="2016" w:type="dxa"/>
          </w:tcPr>
          <w:p w14:paraId="6CEC7719" w14:textId="77777777"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Required</w:t>
            </w:r>
          </w:p>
        </w:tc>
        <w:tc>
          <w:tcPr>
            <w:tcW w:w="2016" w:type="dxa"/>
          </w:tcPr>
          <w:p w14:paraId="46A1E8D3" w14:textId="77777777"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Not Required</w:t>
            </w:r>
          </w:p>
        </w:tc>
        <w:tc>
          <w:tcPr>
            <w:tcW w:w="2016" w:type="dxa"/>
          </w:tcPr>
          <w:p w14:paraId="4C6DD279" w14:textId="77777777"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Required</w:t>
            </w:r>
          </w:p>
          <w:p w14:paraId="2C305469" w14:textId="77777777" w:rsidR="0019621F" w:rsidRDefault="0019621F">
            <w:pPr>
              <w:spacing w:before="60" w:after="120" w:line="240" w:lineRule="auto"/>
              <w:jc w:val="center"/>
              <w:rPr>
                <w:rFonts w:ascii="Arial" w:hAnsi="Arial" w:cs="Arial"/>
                <w:sz w:val="20"/>
                <w:szCs w:val="20"/>
              </w:rPr>
            </w:pPr>
          </w:p>
        </w:tc>
      </w:tr>
      <w:tr w:rsidR="00BE0E7E" w:rsidRPr="0017587F" w14:paraId="4909F75C" w14:textId="77777777" w:rsidTr="000E30F0">
        <w:tc>
          <w:tcPr>
            <w:tcW w:w="3798" w:type="dxa"/>
          </w:tcPr>
          <w:p w14:paraId="3A199EBA" w14:textId="77777777" w:rsidR="0019621F" w:rsidRDefault="00E058EC">
            <w:pPr>
              <w:spacing w:before="60" w:after="120" w:line="240" w:lineRule="auto"/>
              <w:rPr>
                <w:rFonts w:ascii="Arial" w:hAnsi="Arial" w:cs="Arial"/>
                <w:sz w:val="20"/>
                <w:szCs w:val="20"/>
              </w:rPr>
            </w:pPr>
            <w:r w:rsidRPr="0091349B">
              <w:rPr>
                <w:rFonts w:ascii="Arial" w:hAnsi="Arial" w:cs="Arial"/>
                <w:sz w:val="20"/>
                <w:szCs w:val="20"/>
              </w:rPr>
              <w:t xml:space="preserve">Site Initiation Visit </w:t>
            </w:r>
            <w:r>
              <w:rPr>
                <w:rFonts w:ascii="Arial" w:hAnsi="Arial" w:cs="Arial"/>
                <w:sz w:val="20"/>
                <w:szCs w:val="20"/>
              </w:rPr>
              <w:t xml:space="preserve">(SIV) </w:t>
            </w:r>
            <w:r w:rsidRPr="0091349B">
              <w:rPr>
                <w:rFonts w:ascii="Arial" w:hAnsi="Arial" w:cs="Arial"/>
                <w:sz w:val="20"/>
                <w:szCs w:val="20"/>
              </w:rPr>
              <w:t>Completed</w:t>
            </w:r>
          </w:p>
        </w:tc>
        <w:tc>
          <w:tcPr>
            <w:tcW w:w="2016" w:type="dxa"/>
          </w:tcPr>
          <w:p w14:paraId="03EB1021" w14:textId="77777777" w:rsidR="0019621F" w:rsidRDefault="00E058EC">
            <w:pPr>
              <w:spacing w:before="60" w:after="120" w:line="240" w:lineRule="auto"/>
              <w:jc w:val="center"/>
              <w:rPr>
                <w:rFonts w:ascii="Arial" w:hAnsi="Arial" w:cs="Arial"/>
                <w:sz w:val="20"/>
                <w:szCs w:val="20"/>
              </w:rPr>
            </w:pPr>
            <w:r>
              <w:rPr>
                <w:rFonts w:ascii="Arial" w:hAnsi="Arial" w:cs="Arial"/>
                <w:sz w:val="20"/>
                <w:szCs w:val="20"/>
              </w:rPr>
              <w:t xml:space="preserve">Not </w:t>
            </w:r>
            <w:r w:rsidRPr="0091349B">
              <w:rPr>
                <w:rFonts w:ascii="Arial" w:hAnsi="Arial" w:cs="Arial"/>
                <w:sz w:val="20"/>
                <w:szCs w:val="20"/>
              </w:rPr>
              <w:t>Required</w:t>
            </w:r>
          </w:p>
        </w:tc>
        <w:tc>
          <w:tcPr>
            <w:tcW w:w="2016" w:type="dxa"/>
          </w:tcPr>
          <w:p w14:paraId="6BD66B32" w14:textId="77777777"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Not Required</w:t>
            </w:r>
          </w:p>
        </w:tc>
        <w:tc>
          <w:tcPr>
            <w:tcW w:w="2016" w:type="dxa"/>
          </w:tcPr>
          <w:p w14:paraId="1BDB599F" w14:textId="77777777"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Required</w:t>
            </w:r>
          </w:p>
        </w:tc>
      </w:tr>
      <w:tr w:rsidR="00BE0E7E" w:rsidRPr="0017587F" w14:paraId="484A419C" w14:textId="77777777" w:rsidTr="000E30F0">
        <w:tc>
          <w:tcPr>
            <w:tcW w:w="3798" w:type="dxa"/>
          </w:tcPr>
          <w:p w14:paraId="1E637305" w14:textId="77777777" w:rsidR="0019621F" w:rsidRDefault="00E058EC">
            <w:pPr>
              <w:spacing w:before="60" w:after="120" w:line="240" w:lineRule="auto"/>
              <w:rPr>
                <w:rFonts w:ascii="Arial" w:hAnsi="Arial" w:cs="Arial"/>
                <w:sz w:val="20"/>
                <w:szCs w:val="20"/>
              </w:rPr>
            </w:pPr>
            <w:r>
              <w:rPr>
                <w:rFonts w:ascii="Arial" w:hAnsi="Arial" w:cs="Arial"/>
                <w:sz w:val="20"/>
                <w:szCs w:val="20"/>
              </w:rPr>
              <w:t>Completion of Action Items From SIV</w:t>
            </w:r>
          </w:p>
        </w:tc>
        <w:tc>
          <w:tcPr>
            <w:tcW w:w="2016" w:type="dxa"/>
          </w:tcPr>
          <w:p w14:paraId="68403E30" w14:textId="77777777" w:rsidR="0019621F" w:rsidRDefault="00E058EC">
            <w:pPr>
              <w:spacing w:before="60" w:after="120" w:line="240" w:lineRule="auto"/>
              <w:jc w:val="center"/>
              <w:rPr>
                <w:rFonts w:ascii="Arial" w:hAnsi="Arial" w:cs="Arial"/>
                <w:sz w:val="20"/>
                <w:szCs w:val="20"/>
              </w:rPr>
            </w:pPr>
            <w:r>
              <w:rPr>
                <w:rFonts w:ascii="Arial" w:hAnsi="Arial" w:cs="Arial"/>
                <w:sz w:val="20"/>
                <w:szCs w:val="20"/>
              </w:rPr>
              <w:t>Not Required</w:t>
            </w:r>
          </w:p>
        </w:tc>
        <w:tc>
          <w:tcPr>
            <w:tcW w:w="2016" w:type="dxa"/>
          </w:tcPr>
          <w:p w14:paraId="039E9A32" w14:textId="77777777" w:rsidR="0019621F" w:rsidRDefault="00E058EC">
            <w:pPr>
              <w:spacing w:before="60" w:after="120" w:line="240" w:lineRule="auto"/>
              <w:jc w:val="center"/>
              <w:rPr>
                <w:rFonts w:ascii="Arial" w:hAnsi="Arial" w:cs="Arial"/>
                <w:sz w:val="20"/>
                <w:szCs w:val="20"/>
              </w:rPr>
            </w:pPr>
            <w:r>
              <w:rPr>
                <w:rFonts w:ascii="Arial" w:hAnsi="Arial" w:cs="Arial"/>
                <w:sz w:val="20"/>
                <w:szCs w:val="20"/>
              </w:rPr>
              <w:t>Not Applicable</w:t>
            </w:r>
          </w:p>
        </w:tc>
        <w:tc>
          <w:tcPr>
            <w:tcW w:w="2016" w:type="dxa"/>
          </w:tcPr>
          <w:p w14:paraId="768E3312" w14:textId="77777777" w:rsidR="0019621F" w:rsidRDefault="00E058EC">
            <w:pPr>
              <w:spacing w:before="60" w:after="120" w:line="240" w:lineRule="auto"/>
              <w:jc w:val="center"/>
              <w:rPr>
                <w:rFonts w:ascii="Arial" w:hAnsi="Arial" w:cs="Arial"/>
                <w:sz w:val="20"/>
                <w:szCs w:val="20"/>
              </w:rPr>
            </w:pPr>
            <w:r>
              <w:rPr>
                <w:rFonts w:ascii="Arial" w:hAnsi="Arial" w:cs="Arial"/>
                <w:sz w:val="20"/>
                <w:szCs w:val="20"/>
              </w:rPr>
              <w:t>Required</w:t>
            </w:r>
          </w:p>
        </w:tc>
      </w:tr>
      <w:tr w:rsidR="00BE0E7E" w:rsidRPr="0017587F" w14:paraId="7B906313" w14:textId="77777777" w:rsidTr="000E30F0">
        <w:tc>
          <w:tcPr>
            <w:tcW w:w="3798" w:type="dxa"/>
          </w:tcPr>
          <w:p w14:paraId="63C3D21D" w14:textId="77777777" w:rsidR="0019621F" w:rsidRDefault="00E058EC">
            <w:pPr>
              <w:spacing w:before="60" w:after="120" w:line="240" w:lineRule="auto"/>
              <w:rPr>
                <w:rFonts w:ascii="Arial" w:hAnsi="Arial" w:cs="Arial"/>
                <w:sz w:val="20"/>
                <w:szCs w:val="20"/>
              </w:rPr>
            </w:pPr>
            <w:r w:rsidRPr="0091349B">
              <w:rPr>
                <w:rFonts w:ascii="Arial" w:hAnsi="Arial" w:cs="Arial"/>
                <w:sz w:val="20"/>
                <w:szCs w:val="20"/>
              </w:rPr>
              <w:t>Study Drug Ready to be Dispensed</w:t>
            </w:r>
            <w:r w:rsidR="00E32004" w:rsidRPr="00250009">
              <w:rPr>
                <w:rFonts w:ascii="Arial" w:hAnsi="Arial" w:cs="Arial"/>
                <w:sz w:val="20"/>
                <w:szCs w:val="20"/>
                <w:vertAlign w:val="superscript"/>
              </w:rPr>
              <w:t>1</w:t>
            </w:r>
          </w:p>
        </w:tc>
        <w:tc>
          <w:tcPr>
            <w:tcW w:w="2016" w:type="dxa"/>
          </w:tcPr>
          <w:p w14:paraId="6A609792" w14:textId="77777777"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Not Required</w:t>
            </w:r>
          </w:p>
        </w:tc>
        <w:tc>
          <w:tcPr>
            <w:tcW w:w="2016" w:type="dxa"/>
          </w:tcPr>
          <w:p w14:paraId="16A3B19B" w14:textId="77777777"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Not Required</w:t>
            </w:r>
          </w:p>
        </w:tc>
        <w:tc>
          <w:tcPr>
            <w:tcW w:w="2016" w:type="dxa"/>
          </w:tcPr>
          <w:p w14:paraId="20E13A90" w14:textId="77777777" w:rsidR="0019621F" w:rsidRDefault="00E058EC">
            <w:pPr>
              <w:spacing w:before="60" w:after="120" w:line="240" w:lineRule="auto"/>
              <w:jc w:val="center"/>
              <w:rPr>
                <w:rFonts w:ascii="Arial" w:hAnsi="Arial" w:cs="Arial"/>
                <w:sz w:val="20"/>
                <w:szCs w:val="20"/>
              </w:rPr>
            </w:pPr>
            <w:r>
              <w:rPr>
                <w:rFonts w:ascii="Arial" w:hAnsi="Arial" w:cs="Arial"/>
                <w:sz w:val="20"/>
                <w:szCs w:val="20"/>
              </w:rPr>
              <w:t>Required</w:t>
            </w:r>
            <w:r w:rsidRPr="00250009">
              <w:rPr>
                <w:rFonts w:ascii="Arial" w:hAnsi="Arial" w:cs="Arial"/>
                <w:sz w:val="20"/>
                <w:szCs w:val="20"/>
                <w:vertAlign w:val="superscript"/>
              </w:rPr>
              <w:t>2</w:t>
            </w:r>
          </w:p>
        </w:tc>
      </w:tr>
    </w:tbl>
    <w:p w14:paraId="6D35DC04" w14:textId="77777777" w:rsidR="00482DB4" w:rsidRDefault="00250009" w:rsidP="00250009">
      <w:pPr>
        <w:pStyle w:val="CROMSText"/>
        <w:spacing w:after="0" w:line="240" w:lineRule="auto"/>
        <w:rPr>
          <w:rFonts w:cs="Arial"/>
          <w:bCs/>
          <w:sz w:val="20"/>
          <w:szCs w:val="20"/>
        </w:rPr>
      </w:pPr>
      <w:r w:rsidRPr="00250009">
        <w:rPr>
          <w:rFonts w:cs="Arial"/>
          <w:bCs/>
          <w:sz w:val="20"/>
          <w:szCs w:val="20"/>
          <w:vertAlign w:val="superscript"/>
        </w:rPr>
        <w:t>1</w:t>
      </w:r>
      <w:r w:rsidR="00482DB4" w:rsidRPr="0017587F">
        <w:rPr>
          <w:rFonts w:cs="Arial"/>
          <w:bCs/>
          <w:sz w:val="20"/>
          <w:szCs w:val="20"/>
        </w:rPr>
        <w:t>Only when applicable.</w:t>
      </w:r>
    </w:p>
    <w:p w14:paraId="46467911" w14:textId="77777777" w:rsidR="00482DB4" w:rsidRDefault="00250009" w:rsidP="00503EA9">
      <w:pPr>
        <w:pStyle w:val="CROMSText"/>
        <w:spacing w:after="0" w:line="240" w:lineRule="auto"/>
        <w:rPr>
          <w:bCs/>
        </w:rPr>
      </w:pPr>
      <w:r w:rsidRPr="00250009">
        <w:rPr>
          <w:rFonts w:cs="Arial"/>
          <w:bCs/>
          <w:sz w:val="20"/>
          <w:szCs w:val="20"/>
          <w:vertAlign w:val="superscript"/>
        </w:rPr>
        <w:t>2</w:t>
      </w:r>
      <w:r>
        <w:rPr>
          <w:rFonts w:cs="Arial"/>
          <w:bCs/>
          <w:sz w:val="20"/>
          <w:szCs w:val="20"/>
        </w:rPr>
        <w:t>Study drug may not be dispensed until after activation.</w:t>
      </w:r>
    </w:p>
    <w:p w14:paraId="189F6582" w14:textId="77777777" w:rsidR="00020045" w:rsidRDefault="00020045" w:rsidP="008842BC">
      <w:pPr>
        <w:jc w:val="center"/>
        <w:rPr>
          <w:b/>
        </w:rPr>
        <w:sectPr w:rsidR="00020045" w:rsidSect="00FC7314">
          <w:headerReference w:type="default" r:id="rId34"/>
          <w:footnotePr>
            <w:numStart w:val="2"/>
          </w:footnotePr>
          <w:type w:val="continuous"/>
          <w:pgSz w:w="12240" w:h="15840"/>
          <w:pgMar w:top="1680" w:right="1440" w:bottom="1440" w:left="1440" w:header="720" w:footer="720" w:gutter="0"/>
          <w:cols w:space="720"/>
          <w:docGrid w:linePitch="360"/>
        </w:sectPr>
      </w:pPr>
    </w:p>
    <w:p w14:paraId="3605E805" w14:textId="77777777" w:rsidR="00020045" w:rsidRPr="0017587F" w:rsidRDefault="00141913" w:rsidP="00020045">
      <w:pPr>
        <w:jc w:val="center"/>
        <w:rPr>
          <w:rFonts w:ascii="Arial" w:hAnsi="Arial" w:cs="Arial"/>
          <w:b/>
          <w:sz w:val="20"/>
          <w:szCs w:val="20"/>
        </w:rPr>
      </w:pPr>
      <w:r>
        <w:rPr>
          <w:rFonts w:ascii="Arial" w:hAnsi="Arial" w:cs="Arial"/>
          <w:b/>
          <w:sz w:val="20"/>
          <w:szCs w:val="20"/>
        </w:rPr>
        <w:lastRenderedPageBreak/>
        <w:t>APPENDIX</w:t>
      </w:r>
      <w:r w:rsidR="00020045" w:rsidRPr="0017587F">
        <w:rPr>
          <w:rFonts w:ascii="Arial" w:hAnsi="Arial" w:cs="Arial"/>
          <w:b/>
          <w:sz w:val="20"/>
          <w:szCs w:val="20"/>
        </w:rPr>
        <w:t xml:space="preserve"> </w:t>
      </w:r>
      <w:r w:rsidR="00020045">
        <w:rPr>
          <w:rFonts w:ascii="Arial" w:hAnsi="Arial" w:cs="Arial"/>
          <w:b/>
          <w:sz w:val="20"/>
          <w:szCs w:val="20"/>
        </w:rPr>
        <w:t>C</w:t>
      </w:r>
      <w:r w:rsidR="00020045" w:rsidRPr="0017587F">
        <w:rPr>
          <w:rFonts w:ascii="Arial" w:hAnsi="Arial" w:cs="Arial"/>
          <w:b/>
          <w:sz w:val="20"/>
          <w:szCs w:val="20"/>
        </w:rPr>
        <w:t xml:space="preserve">:  </w:t>
      </w:r>
      <w:r w:rsidR="00020045">
        <w:rPr>
          <w:rFonts w:ascii="Arial" w:hAnsi="Arial" w:cs="Arial"/>
          <w:b/>
          <w:sz w:val="20"/>
          <w:szCs w:val="20"/>
        </w:rPr>
        <w:t>Site Activation Notification Template</w:t>
      </w:r>
    </w:p>
    <w:p w14:paraId="1BA2DFB6" w14:textId="77777777" w:rsidR="008842BC" w:rsidRDefault="008842BC" w:rsidP="008842BC">
      <w:pPr>
        <w:jc w:val="center"/>
        <w:rPr>
          <w:b/>
        </w:rPr>
      </w:pPr>
    </w:p>
    <w:p w14:paraId="526CFF11" w14:textId="77777777" w:rsidR="003C5E29" w:rsidRDefault="003C5E29" w:rsidP="003C5E29">
      <w:pPr>
        <w:pStyle w:val="MessageHeaderFirst"/>
        <w:ind w:left="1440" w:hanging="1440"/>
        <w:rPr>
          <w:rFonts w:asciiTheme="minorHAnsi" w:eastAsia="Times" w:hAnsiTheme="minorHAnsi"/>
          <w:caps w:val="0"/>
          <w:sz w:val="22"/>
          <w:szCs w:val="22"/>
        </w:rPr>
      </w:pPr>
      <w:r>
        <w:rPr>
          <w:rFonts w:asciiTheme="minorHAnsi" w:eastAsia="Times" w:hAnsiTheme="minorHAnsi"/>
          <w:b/>
          <w:caps w:val="0"/>
          <w:sz w:val="22"/>
          <w:szCs w:val="22"/>
        </w:rPr>
        <w:t>TO:</w:t>
      </w:r>
      <w:r>
        <w:rPr>
          <w:rFonts w:asciiTheme="minorHAnsi" w:eastAsia="Times" w:hAnsiTheme="minorHAnsi"/>
          <w:caps w:val="0"/>
          <w:sz w:val="22"/>
          <w:szCs w:val="22"/>
        </w:rPr>
        <w:tab/>
        <w:t>&lt;Site Principal Investigator&gt;</w:t>
      </w:r>
    </w:p>
    <w:p w14:paraId="3A8200A0" w14:textId="77777777" w:rsidR="003C5E29" w:rsidRDefault="003C5E29" w:rsidP="003C5E29">
      <w:pPr>
        <w:pStyle w:val="MessageHeader"/>
        <w:ind w:left="1440" w:hanging="1440"/>
        <w:rPr>
          <w:rFonts w:asciiTheme="minorHAnsi" w:eastAsia="Times" w:hAnsiTheme="minorHAnsi"/>
          <w:caps w:val="0"/>
          <w:sz w:val="22"/>
          <w:szCs w:val="22"/>
        </w:rPr>
      </w:pPr>
      <w:r>
        <w:rPr>
          <w:rFonts w:asciiTheme="minorHAnsi" w:eastAsia="Times" w:hAnsiTheme="minorHAnsi"/>
          <w:b/>
          <w:caps w:val="0"/>
          <w:sz w:val="22"/>
          <w:szCs w:val="22"/>
        </w:rPr>
        <w:t>FROM:</w:t>
      </w:r>
      <w:r>
        <w:rPr>
          <w:rFonts w:asciiTheme="minorHAnsi" w:eastAsia="Times" w:hAnsiTheme="minorHAnsi"/>
          <w:caps w:val="0"/>
          <w:sz w:val="22"/>
          <w:szCs w:val="22"/>
        </w:rPr>
        <w:tab/>
        <w:t>&lt;Program Official&gt;</w:t>
      </w:r>
    </w:p>
    <w:p w14:paraId="285EBE9C" w14:textId="77777777" w:rsidR="003C5E29" w:rsidRDefault="003C5E29" w:rsidP="003C5E29">
      <w:pPr>
        <w:pStyle w:val="MessageHeader"/>
        <w:ind w:left="1440" w:hanging="1440"/>
        <w:rPr>
          <w:rFonts w:asciiTheme="minorHAnsi" w:eastAsia="Times" w:hAnsiTheme="minorHAnsi"/>
          <w:caps w:val="0"/>
          <w:sz w:val="22"/>
          <w:szCs w:val="22"/>
        </w:rPr>
      </w:pPr>
      <w:r>
        <w:rPr>
          <w:rFonts w:asciiTheme="minorHAnsi" w:eastAsia="Times" w:hAnsiTheme="minorHAnsi"/>
          <w:b/>
          <w:caps w:val="0"/>
          <w:sz w:val="22"/>
          <w:szCs w:val="22"/>
        </w:rPr>
        <w:t>SUBJECT:</w:t>
      </w:r>
      <w:r>
        <w:rPr>
          <w:rFonts w:asciiTheme="minorHAnsi" w:eastAsia="Times" w:hAnsiTheme="minorHAnsi"/>
          <w:caps w:val="0"/>
          <w:sz w:val="22"/>
          <w:szCs w:val="22"/>
        </w:rPr>
        <w:tab/>
        <w:t>Site Activation: &lt;Site&gt;</w:t>
      </w:r>
    </w:p>
    <w:p w14:paraId="55C34142" w14:textId="77777777" w:rsidR="003C5E29" w:rsidRDefault="003C5E29" w:rsidP="003C5E29">
      <w:pPr>
        <w:pStyle w:val="MessageHeader"/>
        <w:ind w:left="1440" w:hanging="1440"/>
        <w:rPr>
          <w:rFonts w:asciiTheme="minorHAnsi" w:eastAsia="Times" w:hAnsiTheme="minorHAnsi"/>
          <w:caps w:val="0"/>
          <w:sz w:val="22"/>
          <w:szCs w:val="22"/>
        </w:rPr>
      </w:pPr>
      <w:r>
        <w:rPr>
          <w:rFonts w:asciiTheme="minorHAnsi" w:eastAsia="Times" w:hAnsiTheme="minorHAnsi"/>
          <w:b/>
          <w:caps w:val="0"/>
          <w:sz w:val="22"/>
          <w:szCs w:val="22"/>
        </w:rPr>
        <w:t>PROTOCOL:</w:t>
      </w:r>
      <w:r>
        <w:rPr>
          <w:rFonts w:asciiTheme="minorHAnsi" w:eastAsia="Times" w:hAnsiTheme="minorHAnsi"/>
          <w:b/>
          <w:caps w:val="0"/>
          <w:sz w:val="22"/>
          <w:szCs w:val="22"/>
        </w:rPr>
        <w:tab/>
      </w:r>
      <w:r>
        <w:rPr>
          <w:rFonts w:asciiTheme="minorHAnsi" w:eastAsia="Times" w:hAnsiTheme="minorHAnsi"/>
          <w:caps w:val="0"/>
          <w:sz w:val="22"/>
          <w:szCs w:val="22"/>
        </w:rPr>
        <w:t>&lt;Protocol Number: Title&gt;</w:t>
      </w:r>
    </w:p>
    <w:p w14:paraId="3EAB71F8" w14:textId="77777777" w:rsidR="003C5E29" w:rsidRDefault="003C5E29" w:rsidP="003C5E29">
      <w:pPr>
        <w:pStyle w:val="MessageHeader"/>
        <w:ind w:left="1440" w:hanging="1440"/>
        <w:rPr>
          <w:rFonts w:asciiTheme="minorHAnsi" w:eastAsia="Times" w:hAnsiTheme="minorHAnsi"/>
          <w:caps w:val="0"/>
          <w:sz w:val="22"/>
          <w:szCs w:val="22"/>
        </w:rPr>
      </w:pPr>
      <w:r>
        <w:rPr>
          <w:rFonts w:asciiTheme="minorHAnsi" w:eastAsia="Times" w:hAnsiTheme="minorHAnsi"/>
          <w:b/>
          <w:caps w:val="0"/>
          <w:sz w:val="22"/>
          <w:szCs w:val="22"/>
        </w:rPr>
        <w:t>DATE:</w:t>
      </w:r>
      <w:r>
        <w:rPr>
          <w:rFonts w:asciiTheme="minorHAnsi" w:eastAsia="Times" w:hAnsiTheme="minorHAnsi"/>
          <w:caps w:val="0"/>
          <w:sz w:val="22"/>
          <w:szCs w:val="22"/>
        </w:rPr>
        <w:tab/>
        <w:t>&lt;Date&gt;</w:t>
      </w:r>
    </w:p>
    <w:p w14:paraId="52400DA3" w14:textId="77777777" w:rsidR="003C5E29" w:rsidRDefault="003C5E29" w:rsidP="003C5E29">
      <w:pPr>
        <w:pStyle w:val="MessageHeader"/>
        <w:spacing w:after="60" w:line="240" w:lineRule="auto"/>
        <w:ind w:left="1440" w:hanging="1440"/>
        <w:rPr>
          <w:rFonts w:asciiTheme="minorHAnsi" w:eastAsia="Times" w:hAnsiTheme="minorHAnsi"/>
          <w:caps w:val="0"/>
          <w:sz w:val="22"/>
          <w:szCs w:val="22"/>
        </w:rPr>
      </w:pPr>
      <w:r>
        <w:rPr>
          <w:rFonts w:asciiTheme="minorHAnsi" w:eastAsia="Times" w:hAnsiTheme="minorHAnsi"/>
          <w:b/>
          <w:caps w:val="0"/>
          <w:sz w:val="22"/>
          <w:szCs w:val="22"/>
        </w:rPr>
        <w:t>CC:</w:t>
      </w:r>
      <w:r>
        <w:rPr>
          <w:rFonts w:asciiTheme="minorHAnsi" w:eastAsia="Times" w:hAnsiTheme="minorHAnsi"/>
          <w:b/>
          <w:caps w:val="0"/>
          <w:sz w:val="22"/>
          <w:szCs w:val="22"/>
        </w:rPr>
        <w:tab/>
      </w:r>
      <w:r>
        <w:rPr>
          <w:rFonts w:asciiTheme="minorHAnsi" w:eastAsia="Times" w:hAnsiTheme="minorHAnsi"/>
          <w:caps w:val="0"/>
          <w:sz w:val="22"/>
          <w:szCs w:val="22"/>
        </w:rPr>
        <w:t>OCTOM</w:t>
      </w:r>
    </w:p>
    <w:p w14:paraId="7E57F82F" w14:textId="77777777" w:rsidR="003C5E29" w:rsidRDefault="003C5E29" w:rsidP="003C5E29">
      <w:pPr>
        <w:pStyle w:val="MessageHeader"/>
        <w:spacing w:after="60" w:line="240" w:lineRule="auto"/>
        <w:ind w:left="1440" w:firstLine="0"/>
        <w:rPr>
          <w:rFonts w:asciiTheme="minorHAnsi" w:eastAsia="Times" w:hAnsiTheme="minorHAnsi"/>
          <w:caps w:val="0"/>
          <w:sz w:val="22"/>
          <w:szCs w:val="22"/>
        </w:rPr>
      </w:pPr>
      <w:r>
        <w:rPr>
          <w:rFonts w:asciiTheme="minorHAnsi" w:eastAsia="Times" w:hAnsiTheme="minorHAnsi"/>
          <w:caps w:val="0"/>
          <w:sz w:val="22"/>
          <w:szCs w:val="22"/>
        </w:rPr>
        <w:t>&lt;Grant PI&gt;</w:t>
      </w:r>
    </w:p>
    <w:p w14:paraId="0FD91857" w14:textId="77777777" w:rsidR="003C5E29" w:rsidRDefault="003C5E29" w:rsidP="003C5E29">
      <w:pPr>
        <w:pStyle w:val="MessageHeader"/>
        <w:spacing w:after="60" w:line="240" w:lineRule="auto"/>
        <w:ind w:left="1440" w:firstLine="0"/>
        <w:rPr>
          <w:rFonts w:asciiTheme="minorHAnsi" w:eastAsia="Times" w:hAnsiTheme="minorHAnsi"/>
          <w:caps w:val="0"/>
          <w:sz w:val="22"/>
          <w:szCs w:val="22"/>
        </w:rPr>
      </w:pPr>
      <w:r>
        <w:rPr>
          <w:rFonts w:asciiTheme="minorHAnsi" w:eastAsia="Times" w:hAnsiTheme="minorHAnsi"/>
          <w:caps w:val="0"/>
          <w:sz w:val="22"/>
          <w:szCs w:val="22"/>
        </w:rPr>
        <w:t>&lt;Other involved parties as determined by Program Official&gt;</w:t>
      </w:r>
    </w:p>
    <w:p w14:paraId="16877F6D" w14:textId="77777777" w:rsidR="003C5E29" w:rsidRDefault="003C5E29" w:rsidP="003C5E29">
      <w:pPr>
        <w:pBdr>
          <w:bottom w:val="single" w:sz="4" w:space="1" w:color="auto"/>
        </w:pBdr>
        <w:tabs>
          <w:tab w:val="left" w:pos="7200"/>
        </w:tabs>
        <w:rPr>
          <w:rFonts w:ascii="Garamond" w:eastAsia="Times" w:hAnsi="Garamond"/>
          <w:sz w:val="24"/>
          <w:szCs w:val="24"/>
        </w:rPr>
      </w:pPr>
    </w:p>
    <w:p w14:paraId="67302674" w14:textId="77777777" w:rsidR="003C5E29" w:rsidRDefault="003C5E29" w:rsidP="003C5E29">
      <w:pPr>
        <w:tabs>
          <w:tab w:val="left" w:pos="7200"/>
        </w:tabs>
        <w:rPr>
          <w:rFonts w:asciiTheme="minorHAnsi" w:hAnsiTheme="minorHAnsi"/>
        </w:rPr>
      </w:pPr>
      <w:r>
        <w:rPr>
          <w:rFonts w:asciiTheme="minorHAnsi" w:hAnsiTheme="minorHAnsi"/>
        </w:rPr>
        <w:t>I am pleased that you will be conducting the above referenced study.  This Site Activation Notification confirms that your protocol, consent, and IRB approvals have been received and have met NIDCR Clinical Terms of Award, and clinical operational systems are in place.  Your site is now activated and may begin subject enrollment.</w:t>
      </w:r>
    </w:p>
    <w:p w14:paraId="3D401046" w14:textId="77777777" w:rsidR="003C5E29" w:rsidRDefault="003C5E29" w:rsidP="003C5E29">
      <w:pPr>
        <w:tabs>
          <w:tab w:val="left" w:pos="7200"/>
        </w:tabs>
        <w:rPr>
          <w:rFonts w:asciiTheme="minorHAnsi" w:hAnsiTheme="minorHAnsi"/>
        </w:rPr>
      </w:pPr>
      <w:r>
        <w:rPr>
          <w:rFonts w:asciiTheme="minorHAnsi" w:hAnsiTheme="minorHAnsi"/>
        </w:rPr>
        <w:t>In the future, to help ensure subject safety and data integrity, please provide me with copies of documents related to all major changes, including protocol amendments, changes to the consent, termination or suspension of subject accrual, changes in IRB approval, IRB continuing review, changes in key study personnel, and any problems or issues that could affect the safety of subjects or integrity of the study.</w:t>
      </w:r>
    </w:p>
    <w:p w14:paraId="5DBD28FE" w14:textId="77777777" w:rsidR="003C5E29" w:rsidRDefault="003C5E29" w:rsidP="003C5E29">
      <w:pPr>
        <w:tabs>
          <w:tab w:val="left" w:pos="7200"/>
        </w:tabs>
        <w:rPr>
          <w:rFonts w:asciiTheme="minorHAnsi" w:hAnsiTheme="minorHAnsi"/>
        </w:rPr>
      </w:pPr>
      <w:r>
        <w:rPr>
          <w:rFonts w:asciiTheme="minorHAnsi" w:hAnsiTheme="minorHAnsi"/>
        </w:rPr>
        <w:t>Please let us know if you have any questions or concerns regarding the initiation or conduct of this study.</w:t>
      </w:r>
    </w:p>
    <w:p w14:paraId="3CDA70C4" w14:textId="77777777" w:rsidR="003C5E29" w:rsidRDefault="003C5E29" w:rsidP="003C5E29">
      <w:pPr>
        <w:tabs>
          <w:tab w:val="left" w:pos="7200"/>
        </w:tabs>
        <w:rPr>
          <w:rFonts w:asciiTheme="minorHAnsi" w:hAnsiTheme="minorHAnsi"/>
        </w:rPr>
      </w:pPr>
    </w:p>
    <w:p w14:paraId="2324D689" w14:textId="77777777" w:rsidR="003C5E29" w:rsidRDefault="003C5E29" w:rsidP="00020045">
      <w:pPr>
        <w:pStyle w:val="MessageHeaderFirst"/>
        <w:ind w:left="1440" w:hanging="1440"/>
        <w:rPr>
          <w:rFonts w:asciiTheme="minorHAnsi" w:eastAsia="Times" w:hAnsiTheme="minorHAnsi"/>
          <w:b/>
          <w:caps w:val="0"/>
          <w:sz w:val="22"/>
          <w:szCs w:val="22"/>
        </w:rPr>
      </w:pPr>
    </w:p>
    <w:p w14:paraId="57471C9C" w14:textId="77777777" w:rsidR="00690256" w:rsidRDefault="00690256">
      <w:pPr>
        <w:spacing w:after="0" w:line="240" w:lineRule="auto"/>
        <w:rPr>
          <w:b/>
        </w:rPr>
      </w:pPr>
      <w:r>
        <w:rPr>
          <w:b/>
        </w:rPr>
        <w:br w:type="page"/>
      </w:r>
    </w:p>
    <w:p w14:paraId="5E217A84" w14:textId="77777777" w:rsidR="008335E1" w:rsidRDefault="00690256" w:rsidP="008335E1">
      <w:pPr>
        <w:jc w:val="center"/>
      </w:pPr>
      <w:r w:rsidRPr="0017587F">
        <w:rPr>
          <w:rFonts w:ascii="Arial" w:hAnsi="Arial" w:cs="Arial"/>
          <w:b/>
          <w:sz w:val="20"/>
          <w:szCs w:val="20"/>
        </w:rPr>
        <w:lastRenderedPageBreak/>
        <w:t>A</w:t>
      </w:r>
      <w:r w:rsidR="00141913">
        <w:rPr>
          <w:rFonts w:ascii="Arial" w:hAnsi="Arial" w:cs="Arial"/>
          <w:b/>
          <w:sz w:val="20"/>
          <w:szCs w:val="20"/>
        </w:rPr>
        <w:t>PPENDIX</w:t>
      </w:r>
      <w:r w:rsidRPr="0017587F">
        <w:rPr>
          <w:rFonts w:ascii="Arial" w:hAnsi="Arial" w:cs="Arial"/>
          <w:b/>
          <w:sz w:val="20"/>
          <w:szCs w:val="20"/>
        </w:rPr>
        <w:t xml:space="preserve"> </w:t>
      </w:r>
      <w:r>
        <w:rPr>
          <w:rFonts w:ascii="Arial" w:hAnsi="Arial" w:cs="Arial"/>
          <w:b/>
          <w:sz w:val="20"/>
          <w:szCs w:val="20"/>
        </w:rPr>
        <w:t>D</w:t>
      </w:r>
      <w:r w:rsidRPr="0017587F">
        <w:rPr>
          <w:rFonts w:ascii="Arial" w:hAnsi="Arial" w:cs="Arial"/>
          <w:b/>
          <w:sz w:val="20"/>
          <w:szCs w:val="20"/>
        </w:rPr>
        <w:t xml:space="preserve">:  </w:t>
      </w:r>
      <w:r w:rsidR="008335E1">
        <w:rPr>
          <w:b/>
        </w:rPr>
        <w:t>Clinical Trial Progression in Behavioral or Social Intervention R</w:t>
      </w:r>
      <w:r w:rsidR="008335E1" w:rsidRPr="008335E1">
        <w:rPr>
          <w:b/>
        </w:rPr>
        <w:t>esearch</w:t>
      </w:r>
    </w:p>
    <w:p w14:paraId="4565FEBB" w14:textId="77777777" w:rsidR="00AB0D7F" w:rsidRDefault="00AB0D7F" w:rsidP="00AB0D7F">
      <w:r>
        <w:t>A controlled study involving human subjects, designed to test a well-characterized behavioral intervention and to evaluate prospectively the effect of the behavioral or psychosocial intervention on one or more aspects of public health. “Behavioral intervention” is a broad term that describes an approach to preventing, maintaining or changing behavior through the use of non-medical or non-pharmaceutical techniques. Examples of behavioral interventions include, but are not limited to: health education, health promotion, teaching skills, providing social support, resolving family conflict, screening and brief intervention for health behaviors, establishing reward systems for healthy behavior, changing organizational structure, and more. Behavioral interventions range in intensity (very brief to intensive), duration (a single session to sessions over the course of years), mode of delivery (in person, computer, other technology), and complexity (simple messages to sophisticated strategies).  Behavioral intervention research proceeds through different phases, which are similar to phases of drug or device development. The behavioral intervention research field tends to describe these phases as “stages”, to identify the research as behavioral.</w:t>
      </w:r>
    </w:p>
    <w:p w14:paraId="74EA3189" w14:textId="77777777" w:rsidR="00AB0D7F" w:rsidRDefault="00AB0D7F" w:rsidP="00AB0D7F">
      <w:r w:rsidRPr="00C8405A">
        <w:rPr>
          <w:b/>
          <w:u w:val="single"/>
        </w:rPr>
        <w:t>Stage 1a:</w:t>
      </w:r>
      <w:r>
        <w:t xml:space="preserve"> Behavioral intervention development work begins in Stage 1a. During this early stage, findings from basic or clinical science about behavior, and/or clinical observations about behavior, are translated into a draft behavioral intervention, and the target population and/or interventionists provide feedback to ensure the intervention is acceptable and feasible. </w:t>
      </w:r>
    </w:p>
    <w:p w14:paraId="577B3A4C" w14:textId="77777777" w:rsidR="00AB0D7F" w:rsidRDefault="00AB0D7F" w:rsidP="00AB0D7F">
      <w:r>
        <w:t xml:space="preserve">During this stage, investigators should: define the clinical problem of interest (i.e., the theory or logic model of the problem), and define the rationale for why the intervention is expected to address the problem (i.e., the theory or logic model of change). Essential to defining the rationale for the intervention is a clear identification of proposed mediators and moderators. Mediators are intermediate variables targeted by the intervention that are causally related to a desired outcome. For instance, an intervention to improve oral health may involve improving nutrition. Presumably, the nutrition intervention improves oral health indirectly, by improving a mediating variable, such as eating behavior.  Moderators are variables for which the relationship between the intervention and the desired outcome varies. In the above example, if the nutrition intervention led to greater oral health improvements for women than for men, sex/gender would be a moderator of the intervention-outcome relationship.  </w:t>
      </w:r>
    </w:p>
    <w:p w14:paraId="2D78543F" w14:textId="77777777" w:rsidR="00AB0D7F" w:rsidRDefault="00AB0D7F" w:rsidP="00AB0D7F">
      <w:r>
        <w:t xml:space="preserve">Activities appropriate for Stage 1a behavioral intervention development may include collection of qualitative data from stakeholders as an early check on the relevance and acceptability of the intervention, and iterative feedback between this data collection and further adaptations of the draft intervention manual. One product of this stage of research should be a draft behavioral intervention that is described in sufficient detail--typically in an intervention manual--so that it can be delivered as intended. </w:t>
      </w:r>
    </w:p>
    <w:p w14:paraId="7C44B82B" w14:textId="77777777" w:rsidR="00AB0D7F" w:rsidRDefault="00AB0D7F" w:rsidP="00AB0D7F">
      <w:r>
        <w:lastRenderedPageBreak/>
        <w:t xml:space="preserve">Another activity appropriate for Stage 1a research—and each subsequent stage--is testing the proposed rationale or theory for the intervention. During Stage 1a, testing the intervention rationale may take the form of highly-controlled, small-scale, lab-based tests. For instance, let’s suppose that our nutrition intervention is expected to work by increasing the salience of healthy foods during meal times, which in turn increases choosing healthy foods. During Stage 1a, we could develop a psychometrically sound method for varying the salience of healthy foods, and then test our rationale by manipulating the salience of healthy foods, and measuring food choices. Testing the intervention rationale also may take other forms, such as in-depth case studies, within-subjects studies, time series studies, and more.  Stage 1a activities may not involve analyses of statistical significance. However, if analyses involve tests of significance, adequate statistical power is expected.   </w:t>
      </w:r>
    </w:p>
    <w:p w14:paraId="735A4E2B" w14:textId="77777777" w:rsidR="00AB0D7F" w:rsidRDefault="00AB0D7F" w:rsidP="00AB0D7F">
      <w:r>
        <w:t xml:space="preserve"> Unlike other stages of behavioral intervention development that have analogous phases in drug or device development, Stage 1a is unique to behavioral intervention development research. </w:t>
      </w:r>
    </w:p>
    <w:p w14:paraId="6A75ADE5" w14:textId="77777777" w:rsidR="00AB0D7F" w:rsidRDefault="00AB0D7F" w:rsidP="00AB0D7F">
      <w:r w:rsidRPr="00C8405A">
        <w:rPr>
          <w:b/>
          <w:u w:val="single"/>
        </w:rPr>
        <w:t>Stage 1b:</w:t>
      </w:r>
      <w:r>
        <w:t xml:space="preserve"> Once a draft behavioral intervention manual is developed, the next stage involves testing the intervention for acceptability to the target population and to the intended interventionists, and testing the feasibility of conducting an efficacy trial in subsequent stages. Often, testing for acceptability and feasibility involves qualitative data collection rather than significance-testing using quantitative data. Some models of behavioral intervention development encourage investigators to conduct a small-scale, often under-powered, randomized clinical trial during this stage, in order to estimate the effect size of the draft intervention. The NIDCR model does not encourage under-powered randomized clinical trials. Instead, the NIDCR encourages investigators to ensure acceptability and feasibility in Stage 1b, typically using methods where statistical power and significance are not relevant. For instance, acceptability might be assessed by conducting focus groups with participants in the draft intervention. Feasibility of delivering the intervention might be assessed by tracking any problems that occur during initial delivery of the intervention to a small sample. Stage 1b activities may not involve analyses of statistical significance. However, if analyses involve tests of significance, adequate statistical power is expected.   </w:t>
      </w:r>
    </w:p>
    <w:p w14:paraId="3F9D2825" w14:textId="77777777" w:rsidR="00AB0D7F" w:rsidRDefault="00AB0D7F" w:rsidP="00AB0D7F">
      <w:r>
        <w:t xml:space="preserve">The NIDCR views sufficiently-powered randomized clinical trials as appropriate for Stage 2 behavioral intervention research. </w:t>
      </w:r>
    </w:p>
    <w:p w14:paraId="0B19FA3F" w14:textId="77777777" w:rsidR="00AB0D7F" w:rsidRDefault="00AB0D7F" w:rsidP="00AB0D7F">
      <w:r>
        <w:t>Stage 1b of behavioral intervention research is similar to Phase I in drug and device development.</w:t>
      </w:r>
    </w:p>
    <w:p w14:paraId="7EA1FE74" w14:textId="77777777" w:rsidR="00AB0D7F" w:rsidRDefault="00AB0D7F" w:rsidP="00AB0D7F">
      <w:r w:rsidRPr="00C8405A">
        <w:rPr>
          <w:b/>
          <w:u w:val="single"/>
        </w:rPr>
        <w:t>Stage II:</w:t>
      </w:r>
      <w:r>
        <w:t xml:space="preserve"> Once a behavioral intervention has been shown to be acceptable to the target population and interventionists, and has been shown to be feasible to deliver and test, Stage II research begins. The main goal of this stage is to identify causal relationships between the intervention and target outcomes. In other words, Stage II activities test the efficacy of an intervention, and further clarify variables that mediate and moderate the intervention’s effects. Typically—but not always--an efficacy test involves </w:t>
      </w:r>
      <w:r>
        <w:lastRenderedPageBreak/>
        <w:t xml:space="preserve">comparing the intervention to one or more control or comparison groups. If statistical analyses involve tests of significance, adequate statistical power is expected.   </w:t>
      </w:r>
    </w:p>
    <w:p w14:paraId="27AB917E" w14:textId="77777777" w:rsidR="00AB0D7F" w:rsidRDefault="00AB0D7F" w:rsidP="00AB0D7F">
      <w:r>
        <w:t xml:space="preserve">Clarifying mediators and moderators of a behavioral or social intervention may involve a variety of methods and study designs. Most experts in theory testing and in statistical mediation encourage certain considerations when studying mediation and moderation. Among these considerations are that hypothesized mediators and moderators: 1) are measured frequently enough to capture meaningful change;  2) are measured </w:t>
      </w:r>
      <w:r w:rsidRPr="00EF0D18">
        <w:rPr>
          <w:i/>
        </w:rPr>
        <w:t>before</w:t>
      </w:r>
      <w:r>
        <w:t xml:space="preserve"> target outcomes in order to establish temporal relationships; and 3) are measured in the experimental and comparison condition(s) to establish specificity of effects.</w:t>
      </w:r>
    </w:p>
    <w:p w14:paraId="7BF9513B" w14:textId="77777777" w:rsidR="00AB0D7F" w:rsidRDefault="00AB0D7F" w:rsidP="00AB0D7F">
      <w:r>
        <w:t xml:space="preserve">Strict controls are expected in Stage II behavioral intervention research. Whether conducted in a laboratory or community setting, or by researchers or community clinicians, Stage 2 research expects strict adherence to intervention fidelity, delivery by well-trained interventionists, a well-defined population, and sound measurement of outcomes and other variables. </w:t>
      </w:r>
    </w:p>
    <w:p w14:paraId="26AE490F" w14:textId="77777777" w:rsidR="00AB0D7F" w:rsidRDefault="00AB0D7F" w:rsidP="00AB0D7F">
      <w:r>
        <w:t>Stage II behavioral intervention research is roughly analogous to Phases II and III in drug or device development.</w:t>
      </w:r>
    </w:p>
    <w:p w14:paraId="07358B69" w14:textId="77777777" w:rsidR="00AB0D7F" w:rsidRDefault="00AB0D7F" w:rsidP="00AB0D7F">
      <w:r w:rsidRPr="00554583">
        <w:rPr>
          <w:b/>
          <w:u w:val="single"/>
        </w:rPr>
        <w:t>Stage III:</w:t>
      </w:r>
      <w:r>
        <w:t xml:space="preserve"> The purpose of Stage III research is to prepare and/or adapt an efficacious intervention to be delivered in community (non-research) settings by community interventionists in a sustainable way. Some models of behavioral intervention research call this stage “effectiveness research”, although the NIDCR draws an important distinction between typical effectiveness research and what we consider Stage III research. Specifically, we consider as vital to Stage III research rigorous measurement of deviations from fidelity, and of variables that might affect intervention delivery. Stage III is not meant to be a return to “black box” intervention research, but rather a systematic study of how an intervention can be delivered in a “real world setting”. </w:t>
      </w:r>
    </w:p>
    <w:p w14:paraId="2C31EF25" w14:textId="77777777" w:rsidR="00AB0D7F" w:rsidRDefault="00AB0D7F" w:rsidP="00AB0D7F">
      <w:r>
        <w:t>Examples of Stage III research activities include, but are not limited to: 1) comparing the adaptations community interventionists make to an efficacious intervention to accommodate different service delivery systems or specific populations; 2) adapting an efficacious intervention based on Stage II mediation and/or moderation analyses, and comparing the adapted version(s) to the standard intervention; 3) developing and testing methods of training and supervising community interventionists in an efficacious intervention; and 4) identifying organizational characteristics that facilitate delivery of an efficacious intervention.</w:t>
      </w:r>
    </w:p>
    <w:p w14:paraId="12B03A88" w14:textId="77777777" w:rsidR="00AB0D7F" w:rsidRDefault="00AB0D7F" w:rsidP="00AB0D7F">
      <w:r>
        <w:t>Stage III behavioral intervention research is similar to Phase IV drug or device development in its attempt to meet the needs of the general population, and to continue to monitor limitations of an intervention’s effects.</w:t>
      </w:r>
    </w:p>
    <w:p w14:paraId="0DC22FF4" w14:textId="77777777" w:rsidR="00020045" w:rsidRPr="008842BC" w:rsidRDefault="00020045" w:rsidP="00020045">
      <w:pPr>
        <w:rPr>
          <w:b/>
        </w:rPr>
      </w:pPr>
    </w:p>
    <w:sectPr w:rsidR="00020045" w:rsidRPr="008842BC" w:rsidSect="00A558EC">
      <w:footnotePr>
        <w:numStart w:val="2"/>
      </w:footnotePr>
      <w:pgSz w:w="12240" w:h="15840"/>
      <w:pgMar w:top="16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65599" w14:textId="77777777" w:rsidR="005F081E" w:rsidRPr="003A04D7" w:rsidRDefault="005F081E" w:rsidP="00E35E78">
      <w:pPr>
        <w:spacing w:after="0" w:line="240" w:lineRule="auto"/>
        <w:rPr>
          <w:sz w:val="24"/>
        </w:rPr>
      </w:pPr>
      <w:r>
        <w:separator/>
      </w:r>
    </w:p>
  </w:endnote>
  <w:endnote w:type="continuationSeparator" w:id="0">
    <w:p w14:paraId="63C0134F" w14:textId="77777777" w:rsidR="005F081E" w:rsidRPr="003A04D7" w:rsidRDefault="005F081E" w:rsidP="00E35E78">
      <w:pPr>
        <w:spacing w:after="0" w:line="240" w:lineRule="auto"/>
        <w:rPr>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4DD7" w14:textId="77777777" w:rsidR="00932DDD" w:rsidRDefault="00932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8E17" w14:textId="77777777" w:rsidR="00932DDD" w:rsidRDefault="00932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5552" w14:textId="77777777" w:rsidR="00932DDD" w:rsidRDefault="00932D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38A3" w14:textId="77777777" w:rsidR="00D5002A" w:rsidRDefault="00D50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5FD8" w14:textId="77777777" w:rsidR="005F081E" w:rsidRPr="003A04D7" w:rsidRDefault="005F081E" w:rsidP="00E35E78">
      <w:pPr>
        <w:spacing w:after="0" w:line="240" w:lineRule="auto"/>
        <w:rPr>
          <w:sz w:val="24"/>
        </w:rPr>
      </w:pPr>
      <w:r>
        <w:separator/>
      </w:r>
    </w:p>
  </w:footnote>
  <w:footnote w:type="continuationSeparator" w:id="0">
    <w:p w14:paraId="6C145A28" w14:textId="77777777" w:rsidR="005F081E" w:rsidRPr="003A04D7" w:rsidRDefault="005F081E" w:rsidP="00E35E78">
      <w:pPr>
        <w:spacing w:after="0" w:line="240" w:lineRule="auto"/>
        <w:rPr>
          <w:sz w:val="24"/>
        </w:rPr>
      </w:pPr>
      <w:r>
        <w:continuationSeparator/>
      </w:r>
    </w:p>
  </w:footnote>
  <w:footnote w:id="1">
    <w:p w14:paraId="4495C42E" w14:textId="77777777" w:rsidR="00D5002A" w:rsidRDefault="00D5002A">
      <w:pPr>
        <w:pStyle w:val="FootnoteText"/>
      </w:pPr>
      <w:r>
        <w:rPr>
          <w:rStyle w:val="FootnoteReference"/>
        </w:rPr>
        <w:footnoteRef/>
      </w:r>
      <w:r>
        <w:t xml:space="preserve"> In </w:t>
      </w:r>
      <w:r w:rsidRPr="00C942B2">
        <w:t>rare instances, the Medical Monitor may determine that an Independent Safety Monitor (ISM) will provide oversight in addition to or in lieu of a DSMB. NIDCR can provide further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3792" w14:textId="77777777" w:rsidR="00932DDD" w:rsidRDefault="00932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D65E" w14:textId="77777777" w:rsidR="00D5002A" w:rsidRDefault="00AA6591" w:rsidP="0063098A">
    <w:pPr>
      <w:pStyle w:val="Header"/>
      <w:spacing w:after="0"/>
    </w:pPr>
    <w:r>
      <w:rPr>
        <w:noProof/>
      </w:rPr>
      <w:drawing>
        <wp:inline distT="0" distB="0" distL="0" distR="0" wp14:anchorId="072F5E83" wp14:editId="3F496F01">
          <wp:extent cx="2266950" cy="457200"/>
          <wp:effectExtent l="0" t="0" r="0" b="0"/>
          <wp:docPr id="3" name="Picture 2" descr="National Institute of Dental and Craniofacia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9" name="Picture 2" descr="National Institute of Dental and Craniofacial Resear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932DDD">
      <w:tab/>
    </w:r>
    <w:r>
      <w:tab/>
    </w:r>
    <w:r w:rsidR="00D5002A" w:rsidRPr="00937B91">
      <w:rPr>
        <w:rFonts w:ascii="Arial" w:hAnsi="Arial" w:cs="Arial"/>
        <w:b/>
        <w:sz w:val="24"/>
        <w:szCs w:val="24"/>
      </w:rPr>
      <w:t>Guideline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8"/>
      <w:gridCol w:w="1710"/>
      <w:gridCol w:w="1197"/>
      <w:gridCol w:w="1611"/>
    </w:tblGrid>
    <w:tr w:rsidR="00D5002A" w14:paraId="1B491B3B" w14:textId="77777777" w:rsidTr="008223F8">
      <w:tc>
        <w:tcPr>
          <w:tcW w:w="5058" w:type="dxa"/>
          <w:tcBorders>
            <w:top w:val="single" w:sz="4" w:space="0" w:color="auto"/>
            <w:left w:val="single" w:sz="4" w:space="0" w:color="auto"/>
            <w:bottom w:val="single" w:sz="4" w:space="0" w:color="auto"/>
          </w:tcBorders>
        </w:tcPr>
        <w:p w14:paraId="6B3E9496" w14:textId="77777777" w:rsidR="00D5002A" w:rsidRDefault="00D5002A" w:rsidP="008223F8">
          <w:pPr>
            <w:pStyle w:val="HeaderBoxTitle"/>
          </w:pPr>
          <w:r>
            <w:t>Title:</w:t>
          </w:r>
        </w:p>
        <w:p w14:paraId="5AD7206C" w14:textId="77777777" w:rsidR="00D5002A" w:rsidRDefault="00D5002A" w:rsidP="00A037B1">
          <w:pPr>
            <w:pStyle w:val="HeaderBoxText"/>
            <w:rPr>
              <w:sz w:val="20"/>
            </w:rPr>
          </w:pPr>
          <w:r>
            <w:rPr>
              <w:rFonts w:cs="Arial"/>
            </w:rPr>
            <w:t xml:space="preserve">Study Start-up through </w:t>
          </w:r>
          <w:r w:rsidRPr="00D36DE2">
            <w:rPr>
              <w:rFonts w:cs="Arial"/>
            </w:rPr>
            <w:t>S</w:t>
          </w:r>
          <w:r>
            <w:rPr>
              <w:rFonts w:cs="Arial"/>
            </w:rPr>
            <w:t xml:space="preserve">ite Initiation Visit and Site Activation for </w:t>
          </w:r>
          <w:r w:rsidRPr="00D36DE2">
            <w:rPr>
              <w:rFonts w:cs="Arial"/>
            </w:rPr>
            <w:t>Extramural</w:t>
          </w:r>
          <w:r>
            <w:rPr>
              <w:rFonts w:cs="Arial"/>
            </w:rPr>
            <w:t xml:space="preserve"> Studies Requiring Additional NIDCR Oversight</w:t>
          </w:r>
        </w:p>
      </w:tc>
      <w:tc>
        <w:tcPr>
          <w:tcW w:w="1710" w:type="dxa"/>
          <w:tcBorders>
            <w:bottom w:val="single" w:sz="4" w:space="0" w:color="auto"/>
          </w:tcBorders>
        </w:tcPr>
        <w:p w14:paraId="0A03B8A9" w14:textId="77777777" w:rsidR="00D5002A" w:rsidRDefault="00D5002A" w:rsidP="008223F8">
          <w:pPr>
            <w:pStyle w:val="HeaderBoxTitle"/>
            <w:jc w:val="center"/>
            <w:rPr>
              <w:sz w:val="18"/>
              <w:szCs w:val="18"/>
            </w:rPr>
          </w:pPr>
          <w:r>
            <w:t xml:space="preserve">Version Number: </w:t>
          </w:r>
        </w:p>
        <w:p w14:paraId="4BCFF4AD" w14:textId="77777777" w:rsidR="00D5002A" w:rsidRPr="0075735F" w:rsidRDefault="00D5002A" w:rsidP="008223F8">
          <w:pPr>
            <w:pStyle w:val="HeaderBoxTitle"/>
            <w:jc w:val="center"/>
          </w:pPr>
          <w:r>
            <w:rPr>
              <w:b/>
              <w:sz w:val="18"/>
              <w:szCs w:val="18"/>
            </w:rPr>
            <w:t>2.0</w:t>
          </w:r>
        </w:p>
        <w:p w14:paraId="03EA5D0E" w14:textId="77777777" w:rsidR="00D5002A" w:rsidRDefault="00D5002A" w:rsidP="008223F8">
          <w:pPr>
            <w:pStyle w:val="HeaderBoxText"/>
            <w:rPr>
              <w:sz w:val="20"/>
            </w:rPr>
          </w:pPr>
        </w:p>
      </w:tc>
      <w:tc>
        <w:tcPr>
          <w:tcW w:w="1197" w:type="dxa"/>
          <w:tcBorders>
            <w:bottom w:val="single" w:sz="4" w:space="0" w:color="auto"/>
          </w:tcBorders>
        </w:tcPr>
        <w:p w14:paraId="51008B25" w14:textId="77777777" w:rsidR="00D5002A" w:rsidRDefault="00D5002A" w:rsidP="008223F8">
          <w:pPr>
            <w:pStyle w:val="HeaderBoxTitle"/>
            <w:jc w:val="center"/>
          </w:pPr>
          <w:r>
            <w:t>Date:</w:t>
          </w:r>
        </w:p>
        <w:p w14:paraId="1CE6F8F7" w14:textId="77777777" w:rsidR="00D5002A" w:rsidRDefault="00D5002A" w:rsidP="0083656B">
          <w:pPr>
            <w:pStyle w:val="HeaderBoxText"/>
            <w:jc w:val="center"/>
          </w:pPr>
          <w:r>
            <w:t>19DEC2013</w:t>
          </w:r>
        </w:p>
      </w:tc>
      <w:tc>
        <w:tcPr>
          <w:tcW w:w="1611" w:type="dxa"/>
          <w:tcBorders>
            <w:bottom w:val="single" w:sz="4" w:space="0" w:color="auto"/>
          </w:tcBorders>
        </w:tcPr>
        <w:p w14:paraId="63E9CC22" w14:textId="77777777" w:rsidR="00D5002A" w:rsidRDefault="00D5002A" w:rsidP="008223F8">
          <w:pPr>
            <w:pStyle w:val="HeaderBoxTitle"/>
            <w:jc w:val="right"/>
          </w:pPr>
          <w:r>
            <w:t xml:space="preserve">Page </w:t>
          </w:r>
          <w:r>
            <w:fldChar w:fldCharType="begin"/>
          </w:r>
          <w:r>
            <w:instrText xml:space="preserve"> PAGE </w:instrText>
          </w:r>
          <w:r>
            <w:fldChar w:fldCharType="separate"/>
          </w:r>
          <w:r w:rsidR="00AA6591">
            <w:rPr>
              <w:noProof/>
            </w:rPr>
            <w:t>11</w:t>
          </w:r>
          <w:r>
            <w:rPr>
              <w:noProof/>
            </w:rPr>
            <w:fldChar w:fldCharType="end"/>
          </w:r>
          <w:r>
            <w:t xml:space="preserve"> of </w:t>
          </w:r>
          <w:fldSimple w:instr=" NUMPAGES ">
            <w:r w:rsidR="00AA6591">
              <w:rPr>
                <w:noProof/>
              </w:rPr>
              <w:t>36</w:t>
            </w:r>
          </w:fldSimple>
        </w:p>
      </w:tc>
    </w:tr>
  </w:tbl>
  <w:p w14:paraId="5EA668F8" w14:textId="77777777" w:rsidR="00D5002A" w:rsidRDefault="00D5002A" w:rsidP="00A558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FF0C" w14:textId="77777777" w:rsidR="00D5002A" w:rsidRDefault="00AA6591">
    <w:pPr>
      <w:pStyle w:val="Header"/>
    </w:pPr>
    <w:r>
      <w:rPr>
        <w:noProof/>
      </w:rPr>
      <w:drawing>
        <wp:inline distT="0" distB="0" distL="0" distR="0" wp14:anchorId="7F3441AA" wp14:editId="12C821D4">
          <wp:extent cx="2266950" cy="457200"/>
          <wp:effectExtent l="0" t="0" r="0" b="0"/>
          <wp:docPr id="1" name="Picture 2" descr="National Institute of Dental and Craniofacia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9" name="Picture 2" descr="National Institute of Dental and Craniofacial Resear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21DD" w14:textId="77777777" w:rsidR="00D5002A" w:rsidRDefault="00AA6591" w:rsidP="00937B91">
    <w:pPr>
      <w:pStyle w:val="Header"/>
      <w:spacing w:after="0"/>
    </w:pPr>
    <w:r>
      <w:rPr>
        <w:noProof/>
      </w:rPr>
      <w:drawing>
        <wp:inline distT="0" distB="0" distL="0" distR="0" wp14:anchorId="22C67A4A" wp14:editId="334E2C2B">
          <wp:extent cx="2266950" cy="457200"/>
          <wp:effectExtent l="0" t="0" r="0" b="0"/>
          <wp:docPr id="8239" name="Picture 2" descr="National Institute of Dental and Craniofacia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9" name="Picture 2" descr="National Institute of Dental and Craniofacial Resear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D5002A">
      <w:tab/>
    </w:r>
    <w:r w:rsidR="00D5002A">
      <w:tab/>
    </w:r>
    <w:r w:rsidR="00D5002A" w:rsidRPr="00937B91">
      <w:rPr>
        <w:rFonts w:ascii="Arial" w:hAnsi="Arial" w:cs="Arial"/>
        <w:b/>
        <w:sz w:val="24"/>
        <w:szCs w:val="24"/>
      </w:rPr>
      <w:t>Guideline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8"/>
      <w:gridCol w:w="1710"/>
      <w:gridCol w:w="1197"/>
      <w:gridCol w:w="1611"/>
    </w:tblGrid>
    <w:tr w:rsidR="00D5002A" w14:paraId="38F21D88" w14:textId="77777777" w:rsidTr="0063098A">
      <w:tc>
        <w:tcPr>
          <w:tcW w:w="5058" w:type="dxa"/>
          <w:tcBorders>
            <w:top w:val="single" w:sz="4" w:space="0" w:color="auto"/>
            <w:left w:val="single" w:sz="4" w:space="0" w:color="auto"/>
            <w:bottom w:val="single" w:sz="4" w:space="0" w:color="auto"/>
          </w:tcBorders>
        </w:tcPr>
        <w:p w14:paraId="2C6AD2CF" w14:textId="77777777" w:rsidR="00D5002A" w:rsidRDefault="00D5002A" w:rsidP="008E15F4">
          <w:pPr>
            <w:pStyle w:val="HeaderBoxTitle"/>
          </w:pPr>
          <w:r>
            <w:t>Title:</w:t>
          </w:r>
        </w:p>
        <w:p w14:paraId="19261988" w14:textId="77777777" w:rsidR="00D5002A" w:rsidRDefault="00D5002A" w:rsidP="008E15F4">
          <w:pPr>
            <w:pStyle w:val="HeaderBoxText"/>
            <w:rPr>
              <w:sz w:val="20"/>
            </w:rPr>
          </w:pPr>
          <w:r>
            <w:rPr>
              <w:rFonts w:cs="Arial"/>
            </w:rPr>
            <w:t xml:space="preserve">Study Start-up through </w:t>
          </w:r>
          <w:r w:rsidRPr="00D36DE2">
            <w:rPr>
              <w:rFonts w:cs="Arial"/>
            </w:rPr>
            <w:t>S</w:t>
          </w:r>
          <w:r>
            <w:rPr>
              <w:rFonts w:cs="Arial"/>
            </w:rPr>
            <w:t xml:space="preserve">ite Initiation Visit and Site Activation for </w:t>
          </w:r>
          <w:r w:rsidRPr="00D36DE2">
            <w:rPr>
              <w:rFonts w:cs="Arial"/>
            </w:rPr>
            <w:t>Extramural</w:t>
          </w:r>
          <w:r>
            <w:rPr>
              <w:rFonts w:cs="Arial"/>
            </w:rPr>
            <w:t>, More than Minimal Risk Studies</w:t>
          </w:r>
        </w:p>
      </w:tc>
      <w:tc>
        <w:tcPr>
          <w:tcW w:w="1710" w:type="dxa"/>
          <w:tcBorders>
            <w:bottom w:val="single" w:sz="4" w:space="0" w:color="auto"/>
          </w:tcBorders>
        </w:tcPr>
        <w:p w14:paraId="65AE4813" w14:textId="77777777" w:rsidR="00D5002A" w:rsidRDefault="00D5002A" w:rsidP="008E15F4">
          <w:pPr>
            <w:pStyle w:val="HeaderBoxTitle"/>
            <w:jc w:val="center"/>
            <w:rPr>
              <w:sz w:val="18"/>
              <w:szCs w:val="18"/>
            </w:rPr>
          </w:pPr>
          <w:r>
            <w:t xml:space="preserve">Version Number: </w:t>
          </w:r>
        </w:p>
        <w:p w14:paraId="6A1000A7" w14:textId="77777777" w:rsidR="00D5002A" w:rsidRDefault="00D5002A" w:rsidP="00D10C9B">
          <w:pPr>
            <w:pStyle w:val="HeaderBoxTitle"/>
            <w:jc w:val="center"/>
            <w:rPr>
              <w:sz w:val="20"/>
            </w:rPr>
          </w:pPr>
          <w:r>
            <w:rPr>
              <w:b/>
              <w:sz w:val="18"/>
              <w:szCs w:val="18"/>
            </w:rPr>
            <w:t>2.0</w:t>
          </w:r>
        </w:p>
      </w:tc>
      <w:tc>
        <w:tcPr>
          <w:tcW w:w="1197" w:type="dxa"/>
          <w:tcBorders>
            <w:bottom w:val="single" w:sz="4" w:space="0" w:color="auto"/>
          </w:tcBorders>
        </w:tcPr>
        <w:p w14:paraId="02F5FB43" w14:textId="77777777" w:rsidR="00D5002A" w:rsidRDefault="00D5002A" w:rsidP="0063098A">
          <w:pPr>
            <w:pStyle w:val="HeaderBoxTitle"/>
            <w:jc w:val="center"/>
          </w:pPr>
          <w:r>
            <w:t>Date:</w:t>
          </w:r>
        </w:p>
        <w:p w14:paraId="31B4DEBB" w14:textId="77777777" w:rsidR="00D5002A" w:rsidRDefault="00D5002A" w:rsidP="006122DE">
          <w:pPr>
            <w:pStyle w:val="HeaderBoxText"/>
            <w:jc w:val="center"/>
          </w:pPr>
          <w:r>
            <w:t>19DEC2013</w:t>
          </w:r>
        </w:p>
      </w:tc>
      <w:tc>
        <w:tcPr>
          <w:tcW w:w="1611" w:type="dxa"/>
          <w:tcBorders>
            <w:bottom w:val="single" w:sz="4" w:space="0" w:color="auto"/>
          </w:tcBorders>
        </w:tcPr>
        <w:p w14:paraId="02D177EB" w14:textId="77777777" w:rsidR="00D5002A" w:rsidRDefault="00D5002A" w:rsidP="008E15F4">
          <w:pPr>
            <w:pStyle w:val="HeaderBoxTitle"/>
            <w:jc w:val="right"/>
          </w:pPr>
          <w:r>
            <w:t xml:space="preserve">Page </w:t>
          </w:r>
          <w:r>
            <w:fldChar w:fldCharType="begin"/>
          </w:r>
          <w:r>
            <w:instrText xml:space="preserve"> PAGE </w:instrText>
          </w:r>
          <w:r>
            <w:fldChar w:fldCharType="separate"/>
          </w:r>
          <w:r w:rsidR="00AA6591">
            <w:rPr>
              <w:noProof/>
            </w:rPr>
            <w:t>12</w:t>
          </w:r>
          <w:r>
            <w:rPr>
              <w:noProof/>
            </w:rPr>
            <w:fldChar w:fldCharType="end"/>
          </w:r>
          <w:r>
            <w:t xml:space="preserve"> of </w:t>
          </w:r>
          <w:fldSimple w:instr=" NUMPAGES ">
            <w:r w:rsidR="00AA6591">
              <w:rPr>
                <w:noProof/>
              </w:rPr>
              <w:t>36</w:t>
            </w:r>
          </w:fldSimple>
        </w:p>
      </w:tc>
    </w:tr>
  </w:tbl>
  <w:p w14:paraId="3B63B5DD" w14:textId="77777777" w:rsidR="00D5002A" w:rsidRDefault="00D5002A" w:rsidP="00A558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32A2" w14:textId="77777777" w:rsidR="00D5002A" w:rsidRDefault="00AA6591" w:rsidP="00937B91">
    <w:pPr>
      <w:pStyle w:val="Header"/>
      <w:spacing w:after="0"/>
    </w:pPr>
    <w:r>
      <w:rPr>
        <w:noProof/>
      </w:rPr>
      <w:drawing>
        <wp:inline distT="0" distB="0" distL="0" distR="0" wp14:anchorId="59014BCE" wp14:editId="21C6040A">
          <wp:extent cx="2266950" cy="457200"/>
          <wp:effectExtent l="0" t="0" r="0" b="0"/>
          <wp:docPr id="6" name="Picture 2" descr="National Institute of Dental and Craniofacia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9" name="Picture 2" descr="National Institute of Dental and Craniofacial Resear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D5002A">
      <w:tab/>
    </w:r>
    <w:r w:rsidR="00D5002A">
      <w:tab/>
    </w:r>
    <w:r w:rsidR="00D5002A" w:rsidRPr="00937B91">
      <w:rPr>
        <w:rFonts w:ascii="Arial" w:hAnsi="Arial" w:cs="Arial"/>
        <w:b/>
        <w:sz w:val="24"/>
        <w:szCs w:val="24"/>
      </w:rPr>
      <w:t>Guideline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8"/>
      <w:gridCol w:w="1800"/>
      <w:gridCol w:w="1260"/>
      <w:gridCol w:w="1458"/>
    </w:tblGrid>
    <w:tr w:rsidR="00D5002A" w14:paraId="2A67AD6E" w14:textId="77777777" w:rsidTr="00C07017">
      <w:tc>
        <w:tcPr>
          <w:tcW w:w="5058" w:type="dxa"/>
          <w:tcBorders>
            <w:top w:val="single" w:sz="4" w:space="0" w:color="auto"/>
            <w:left w:val="single" w:sz="4" w:space="0" w:color="auto"/>
            <w:bottom w:val="single" w:sz="4" w:space="0" w:color="auto"/>
          </w:tcBorders>
        </w:tcPr>
        <w:p w14:paraId="69931E55" w14:textId="77777777" w:rsidR="00D5002A" w:rsidRDefault="00D5002A" w:rsidP="008E15F4">
          <w:pPr>
            <w:pStyle w:val="HeaderBoxTitle"/>
          </w:pPr>
          <w:r>
            <w:t>Title:</w:t>
          </w:r>
        </w:p>
        <w:p w14:paraId="4BFF8688" w14:textId="77777777" w:rsidR="00D5002A" w:rsidRDefault="00D5002A" w:rsidP="00FC517F">
          <w:pPr>
            <w:pStyle w:val="HeaderBoxText"/>
            <w:rPr>
              <w:sz w:val="20"/>
            </w:rPr>
          </w:pPr>
          <w:r>
            <w:rPr>
              <w:rFonts w:cs="Arial"/>
            </w:rPr>
            <w:t xml:space="preserve">Study Start-up through </w:t>
          </w:r>
          <w:r w:rsidRPr="00D36DE2">
            <w:rPr>
              <w:rFonts w:cs="Arial"/>
            </w:rPr>
            <w:t>S</w:t>
          </w:r>
          <w:r>
            <w:rPr>
              <w:rFonts w:cs="Arial"/>
            </w:rPr>
            <w:t xml:space="preserve">ite Initiation Visit and Site Activation for </w:t>
          </w:r>
          <w:r w:rsidRPr="00D36DE2">
            <w:rPr>
              <w:rFonts w:cs="Arial"/>
            </w:rPr>
            <w:t>Extramural</w:t>
          </w:r>
          <w:r>
            <w:rPr>
              <w:rFonts w:cs="Arial"/>
            </w:rPr>
            <w:t xml:space="preserve"> Studies Requiring Additional NIDCR Oversight</w:t>
          </w:r>
        </w:p>
      </w:tc>
      <w:tc>
        <w:tcPr>
          <w:tcW w:w="1800" w:type="dxa"/>
          <w:tcBorders>
            <w:bottom w:val="single" w:sz="4" w:space="0" w:color="auto"/>
          </w:tcBorders>
        </w:tcPr>
        <w:p w14:paraId="24D8FF93" w14:textId="77777777" w:rsidR="00D5002A" w:rsidRDefault="00D5002A" w:rsidP="008E15F4">
          <w:pPr>
            <w:pStyle w:val="HeaderBoxTitle"/>
            <w:jc w:val="center"/>
            <w:rPr>
              <w:sz w:val="18"/>
              <w:szCs w:val="18"/>
            </w:rPr>
          </w:pPr>
          <w:r>
            <w:t xml:space="preserve">Version Number: </w:t>
          </w:r>
        </w:p>
        <w:p w14:paraId="33D18105" w14:textId="77777777" w:rsidR="00D5002A" w:rsidRPr="0075735F" w:rsidRDefault="00D5002A" w:rsidP="008E15F4">
          <w:pPr>
            <w:pStyle w:val="HeaderBoxTitle"/>
            <w:jc w:val="center"/>
          </w:pPr>
          <w:r>
            <w:rPr>
              <w:b/>
              <w:sz w:val="18"/>
              <w:szCs w:val="18"/>
            </w:rPr>
            <w:t>2.0</w:t>
          </w:r>
        </w:p>
        <w:p w14:paraId="074F75C3" w14:textId="77777777" w:rsidR="00D5002A" w:rsidRDefault="00D5002A" w:rsidP="008E15F4">
          <w:pPr>
            <w:pStyle w:val="HeaderBoxText"/>
            <w:rPr>
              <w:sz w:val="20"/>
            </w:rPr>
          </w:pPr>
        </w:p>
      </w:tc>
      <w:tc>
        <w:tcPr>
          <w:tcW w:w="1260" w:type="dxa"/>
          <w:tcBorders>
            <w:bottom w:val="single" w:sz="4" w:space="0" w:color="auto"/>
          </w:tcBorders>
        </w:tcPr>
        <w:p w14:paraId="0E655E42" w14:textId="77777777" w:rsidR="00D5002A" w:rsidRDefault="00D5002A" w:rsidP="0082344E">
          <w:pPr>
            <w:pStyle w:val="HeaderBoxTitle"/>
            <w:jc w:val="center"/>
          </w:pPr>
          <w:r>
            <w:t>Date:</w:t>
          </w:r>
        </w:p>
        <w:p w14:paraId="61DDC817" w14:textId="77777777" w:rsidR="00D5002A" w:rsidRDefault="00D5002A">
          <w:pPr>
            <w:pStyle w:val="HeaderBoxText"/>
            <w:jc w:val="center"/>
          </w:pPr>
          <w:r>
            <w:t>19DEC2013</w:t>
          </w:r>
        </w:p>
      </w:tc>
      <w:tc>
        <w:tcPr>
          <w:tcW w:w="1458" w:type="dxa"/>
          <w:tcBorders>
            <w:bottom w:val="single" w:sz="4" w:space="0" w:color="auto"/>
          </w:tcBorders>
        </w:tcPr>
        <w:p w14:paraId="14520A74" w14:textId="77777777" w:rsidR="00D5002A" w:rsidRDefault="00D5002A" w:rsidP="008E15F4">
          <w:pPr>
            <w:pStyle w:val="HeaderBoxTitle"/>
            <w:jc w:val="right"/>
          </w:pPr>
          <w:r>
            <w:t xml:space="preserve">Page </w:t>
          </w:r>
          <w:r>
            <w:fldChar w:fldCharType="begin"/>
          </w:r>
          <w:r>
            <w:instrText xml:space="preserve"> PAGE </w:instrText>
          </w:r>
          <w:r>
            <w:fldChar w:fldCharType="separate"/>
          </w:r>
          <w:r w:rsidR="00AA6591">
            <w:rPr>
              <w:noProof/>
            </w:rPr>
            <w:t>16</w:t>
          </w:r>
          <w:r>
            <w:rPr>
              <w:noProof/>
            </w:rPr>
            <w:fldChar w:fldCharType="end"/>
          </w:r>
          <w:r>
            <w:t xml:space="preserve"> of </w:t>
          </w:r>
          <w:fldSimple w:instr=" NUMPAGES ">
            <w:r w:rsidR="00AA6591">
              <w:rPr>
                <w:noProof/>
              </w:rPr>
              <w:t>36</w:t>
            </w:r>
          </w:fldSimple>
        </w:p>
      </w:tc>
    </w:tr>
  </w:tbl>
  <w:p w14:paraId="66750BA8" w14:textId="77777777" w:rsidR="00D5002A" w:rsidRDefault="00D5002A" w:rsidP="00B71483">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C34237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351CBC7A"/>
    <w:lvl w:ilvl="0">
      <w:start w:val="1"/>
      <w:numFmt w:val="decimal"/>
      <w:lvlText w:val="%1."/>
      <w:lvlJc w:val="left"/>
      <w:pPr>
        <w:tabs>
          <w:tab w:val="num" w:pos="360"/>
        </w:tabs>
        <w:ind w:left="360" w:hanging="360"/>
      </w:pPr>
    </w:lvl>
  </w:abstractNum>
  <w:abstractNum w:abstractNumId="2" w15:restartNumberingAfterBreak="0">
    <w:nsid w:val="088913B0"/>
    <w:multiLevelType w:val="hybridMultilevel"/>
    <w:tmpl w:val="29564A7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74E80"/>
    <w:multiLevelType w:val="multilevel"/>
    <w:tmpl w:val="A5EE1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4E619F"/>
    <w:multiLevelType w:val="hybridMultilevel"/>
    <w:tmpl w:val="D9587DE6"/>
    <w:lvl w:ilvl="0" w:tplc="04090001">
      <w:start w:val="1"/>
      <w:numFmt w:val="bullet"/>
      <w:lvlText w:val=""/>
      <w:lvlJc w:val="left"/>
      <w:pPr>
        <w:ind w:left="1020" w:hanging="360"/>
      </w:pPr>
      <w:rPr>
        <w:rFonts w:ascii="Symbol" w:hAnsi="Symbol" w:hint="default"/>
      </w:rPr>
    </w:lvl>
    <w:lvl w:ilvl="1" w:tplc="04090001">
      <w:start w:val="1"/>
      <w:numFmt w:val="bullet"/>
      <w:lvlText w:val=""/>
      <w:lvlJc w:val="left"/>
      <w:pPr>
        <w:ind w:left="1740" w:hanging="360"/>
      </w:pPr>
      <w:rPr>
        <w:rFonts w:ascii="Symbol" w:hAnsi="Symbol"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2D095CA0"/>
    <w:multiLevelType w:val="multilevel"/>
    <w:tmpl w:val="29CE162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864" w:hanging="864"/>
      </w:pPr>
      <w:rPr>
        <w:rFonts w:hint="default"/>
      </w:rPr>
    </w:lvl>
    <w:lvl w:ilvl="2">
      <w:start w:val="1"/>
      <w:numFmt w:val="decimal"/>
      <w:pStyle w:val="Heading3"/>
      <w:lvlText w:val="%1.%2.%3"/>
      <w:lvlJc w:val="left"/>
      <w:pPr>
        <w:ind w:left="864" w:hanging="864"/>
      </w:pPr>
      <w:rPr>
        <w:rFonts w:hint="default"/>
      </w:rPr>
    </w:lvl>
    <w:lvl w:ilvl="3">
      <w:start w:val="1"/>
      <w:numFmt w:val="decimal"/>
      <w:pStyle w:val="Heading4"/>
      <w:lvlText w:val="%1.%2.%3.%4"/>
      <w:lvlJc w:val="left"/>
      <w:pPr>
        <w:ind w:left="1008" w:hanging="1008"/>
      </w:pPr>
      <w:rPr>
        <w:rFonts w:hint="default"/>
      </w:rPr>
    </w:lvl>
    <w:lvl w:ilvl="4">
      <w:start w:val="1"/>
      <w:numFmt w:val="decimal"/>
      <w:pStyle w:val="Heading5"/>
      <w:lvlText w:val="%1.%2.%3.%4.%5"/>
      <w:lvlJc w:val="left"/>
      <w:pPr>
        <w:ind w:left="1152" w:hanging="1152"/>
      </w:pPr>
      <w:rPr>
        <w:rFonts w:hint="default"/>
      </w:rPr>
    </w:lvl>
    <w:lvl w:ilvl="5">
      <w:start w:val="1"/>
      <w:numFmt w:val="decimal"/>
      <w:pStyle w:val="Heading6"/>
      <w:lvlText w:val="%1.%2.%3.%4.%5.%6"/>
      <w:lvlJc w:val="left"/>
      <w:pPr>
        <w:ind w:left="1296" w:hanging="1296"/>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584" w:hanging="1584"/>
      </w:pPr>
      <w:rPr>
        <w:rFonts w:hint="default"/>
      </w:rPr>
    </w:lvl>
    <w:lvl w:ilvl="8">
      <w:start w:val="1"/>
      <w:numFmt w:val="decimal"/>
      <w:pStyle w:val="Heading9"/>
      <w:lvlText w:val="%1.%2.%3.%4.%5.%6.%7.%8.%9"/>
      <w:lvlJc w:val="left"/>
      <w:pPr>
        <w:ind w:left="1728" w:hanging="1728"/>
      </w:pPr>
      <w:rPr>
        <w:rFonts w:hint="default"/>
      </w:rPr>
    </w:lvl>
  </w:abstractNum>
  <w:abstractNum w:abstractNumId="6" w15:restartNumberingAfterBreak="0">
    <w:nsid w:val="39E679CF"/>
    <w:multiLevelType w:val="hybridMultilevel"/>
    <w:tmpl w:val="98DE0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04AC9"/>
    <w:multiLevelType w:val="hybridMultilevel"/>
    <w:tmpl w:val="0BE24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5C66D7"/>
    <w:multiLevelType w:val="hybridMultilevel"/>
    <w:tmpl w:val="AA5C3F06"/>
    <w:lvl w:ilvl="0" w:tplc="15C0C0CC">
      <w:start w:val="1"/>
      <w:numFmt w:val="bullet"/>
      <w:pStyle w:val="CROMSTextBulletedList2"/>
      <w:lvlText w:val="o"/>
      <w:lvlJc w:val="left"/>
      <w:pPr>
        <w:ind w:left="504" w:hanging="360"/>
      </w:pPr>
      <w:rPr>
        <w:rFonts w:ascii="Courier New" w:hAnsi="Courier New" w:cs="Courier New"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15:restartNumberingAfterBreak="0">
    <w:nsid w:val="5B7301AB"/>
    <w:multiLevelType w:val="hybridMultilevel"/>
    <w:tmpl w:val="EED292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902E23"/>
    <w:multiLevelType w:val="hybridMultilevel"/>
    <w:tmpl w:val="8EFCC9F2"/>
    <w:lvl w:ilvl="0" w:tplc="040C7F8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375490"/>
    <w:multiLevelType w:val="hybridMultilevel"/>
    <w:tmpl w:val="92F8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00F3B"/>
    <w:multiLevelType w:val="hybridMultilevel"/>
    <w:tmpl w:val="DE14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0266122">
    <w:abstractNumId w:val="11"/>
  </w:num>
  <w:num w:numId="2" w16cid:durableId="714813969">
    <w:abstractNumId w:val="7"/>
  </w:num>
  <w:num w:numId="3" w16cid:durableId="14163558">
    <w:abstractNumId w:val="9"/>
  </w:num>
  <w:num w:numId="4" w16cid:durableId="1090858699">
    <w:abstractNumId w:val="2"/>
  </w:num>
  <w:num w:numId="5" w16cid:durableId="824466486">
    <w:abstractNumId w:val="4"/>
  </w:num>
  <w:num w:numId="6" w16cid:durableId="585001595">
    <w:abstractNumId w:val="6"/>
  </w:num>
  <w:num w:numId="7" w16cid:durableId="1725521497">
    <w:abstractNumId w:val="0"/>
  </w:num>
  <w:num w:numId="8" w16cid:durableId="1506553887">
    <w:abstractNumId w:val="8"/>
  </w:num>
  <w:num w:numId="9" w16cid:durableId="1451360265">
    <w:abstractNumId w:val="5"/>
  </w:num>
  <w:num w:numId="10" w16cid:durableId="1990936084">
    <w:abstractNumId w:val="5"/>
  </w:num>
  <w:num w:numId="11" w16cid:durableId="1075006096">
    <w:abstractNumId w:val="5"/>
  </w:num>
  <w:num w:numId="12" w16cid:durableId="1659533269">
    <w:abstractNumId w:val="5"/>
  </w:num>
  <w:num w:numId="13" w16cid:durableId="995185129">
    <w:abstractNumId w:val="5"/>
  </w:num>
  <w:num w:numId="14" w16cid:durableId="405151799">
    <w:abstractNumId w:val="5"/>
  </w:num>
  <w:num w:numId="15" w16cid:durableId="28069546">
    <w:abstractNumId w:val="5"/>
  </w:num>
  <w:num w:numId="16" w16cid:durableId="491140306">
    <w:abstractNumId w:val="5"/>
  </w:num>
  <w:num w:numId="17" w16cid:durableId="1314748499">
    <w:abstractNumId w:val="5"/>
  </w:num>
  <w:num w:numId="18" w16cid:durableId="1363553908">
    <w:abstractNumId w:val="1"/>
  </w:num>
  <w:num w:numId="19" w16cid:durableId="693652778">
    <w:abstractNumId w:val="12"/>
  </w:num>
  <w:num w:numId="20" w16cid:durableId="101920686">
    <w:abstractNumId w:val="5"/>
  </w:num>
  <w:num w:numId="21" w16cid:durableId="1358387469">
    <w:abstractNumId w:val="5"/>
  </w:num>
  <w:num w:numId="22" w16cid:durableId="357778655">
    <w:abstractNumId w:val="5"/>
  </w:num>
  <w:num w:numId="23" w16cid:durableId="2102097103">
    <w:abstractNumId w:val="5"/>
  </w:num>
  <w:num w:numId="24" w16cid:durableId="1100105460">
    <w:abstractNumId w:val="5"/>
  </w:num>
  <w:num w:numId="25" w16cid:durableId="12698969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7928914">
    <w:abstractNumId w:val="5"/>
  </w:num>
  <w:num w:numId="27" w16cid:durableId="1754737931">
    <w:abstractNumId w:val="3"/>
  </w:num>
  <w:num w:numId="28" w16cid:durableId="11669003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110"/>
  <w:displayHorizontalDrawingGridEvery w:val="2"/>
  <w:characterSpacingControl w:val="doNotCompress"/>
  <w:hdrShapeDefaults>
    <o:shapedefaults v:ext="edit" spidmax="4097"/>
  </w:hdrShapeDefaults>
  <w:footnotePr>
    <w:numStart w:val="2"/>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5E78"/>
    <w:rsid w:val="000004DB"/>
    <w:rsid w:val="000009C2"/>
    <w:rsid w:val="0000144A"/>
    <w:rsid w:val="00010E77"/>
    <w:rsid w:val="00011130"/>
    <w:rsid w:val="00011178"/>
    <w:rsid w:val="00012111"/>
    <w:rsid w:val="00012B21"/>
    <w:rsid w:val="000133B6"/>
    <w:rsid w:val="00013C92"/>
    <w:rsid w:val="000165E9"/>
    <w:rsid w:val="00020045"/>
    <w:rsid w:val="00020308"/>
    <w:rsid w:val="00022DA6"/>
    <w:rsid w:val="00040F16"/>
    <w:rsid w:val="00050EEF"/>
    <w:rsid w:val="0005128F"/>
    <w:rsid w:val="00051788"/>
    <w:rsid w:val="00051C41"/>
    <w:rsid w:val="00051CCC"/>
    <w:rsid w:val="00061D11"/>
    <w:rsid w:val="00063EE2"/>
    <w:rsid w:val="0006524A"/>
    <w:rsid w:val="00065A94"/>
    <w:rsid w:val="000679A9"/>
    <w:rsid w:val="000713F2"/>
    <w:rsid w:val="00074926"/>
    <w:rsid w:val="000749EA"/>
    <w:rsid w:val="00076A7B"/>
    <w:rsid w:val="00080632"/>
    <w:rsid w:val="00080FCC"/>
    <w:rsid w:val="0008352D"/>
    <w:rsid w:val="00084DFD"/>
    <w:rsid w:val="000856C0"/>
    <w:rsid w:val="00086768"/>
    <w:rsid w:val="00090E7D"/>
    <w:rsid w:val="000911BF"/>
    <w:rsid w:val="00091873"/>
    <w:rsid w:val="00092700"/>
    <w:rsid w:val="00093ABE"/>
    <w:rsid w:val="00094CD0"/>
    <w:rsid w:val="000A3ADC"/>
    <w:rsid w:val="000A775C"/>
    <w:rsid w:val="000B0705"/>
    <w:rsid w:val="000B2FE6"/>
    <w:rsid w:val="000B3DA0"/>
    <w:rsid w:val="000C1ABD"/>
    <w:rsid w:val="000C2A2E"/>
    <w:rsid w:val="000C2E7E"/>
    <w:rsid w:val="000C61BB"/>
    <w:rsid w:val="000C671A"/>
    <w:rsid w:val="000D104A"/>
    <w:rsid w:val="000D208D"/>
    <w:rsid w:val="000D2DFF"/>
    <w:rsid w:val="000E1032"/>
    <w:rsid w:val="000E1DDE"/>
    <w:rsid w:val="000E30F0"/>
    <w:rsid w:val="000E355B"/>
    <w:rsid w:val="000E38B4"/>
    <w:rsid w:val="000E40D3"/>
    <w:rsid w:val="000F3D29"/>
    <w:rsid w:val="000F4A4E"/>
    <w:rsid w:val="000F5948"/>
    <w:rsid w:val="000F5B3B"/>
    <w:rsid w:val="00101A03"/>
    <w:rsid w:val="00104B33"/>
    <w:rsid w:val="00116996"/>
    <w:rsid w:val="001220B0"/>
    <w:rsid w:val="001248E4"/>
    <w:rsid w:val="00124E06"/>
    <w:rsid w:val="00125A98"/>
    <w:rsid w:val="001263B5"/>
    <w:rsid w:val="00126AAC"/>
    <w:rsid w:val="00127903"/>
    <w:rsid w:val="001314BF"/>
    <w:rsid w:val="00132FDE"/>
    <w:rsid w:val="0013353A"/>
    <w:rsid w:val="0013517C"/>
    <w:rsid w:val="00135D1A"/>
    <w:rsid w:val="00141913"/>
    <w:rsid w:val="00144375"/>
    <w:rsid w:val="001521EB"/>
    <w:rsid w:val="0015220B"/>
    <w:rsid w:val="001539F7"/>
    <w:rsid w:val="001616E6"/>
    <w:rsid w:val="00167682"/>
    <w:rsid w:val="00174B57"/>
    <w:rsid w:val="0017587F"/>
    <w:rsid w:val="00187DBE"/>
    <w:rsid w:val="0019078E"/>
    <w:rsid w:val="001910F9"/>
    <w:rsid w:val="00192842"/>
    <w:rsid w:val="00192BEC"/>
    <w:rsid w:val="001936DC"/>
    <w:rsid w:val="0019486A"/>
    <w:rsid w:val="0019621F"/>
    <w:rsid w:val="0019693D"/>
    <w:rsid w:val="001A2837"/>
    <w:rsid w:val="001A4D5E"/>
    <w:rsid w:val="001B2C85"/>
    <w:rsid w:val="001B6146"/>
    <w:rsid w:val="001C5131"/>
    <w:rsid w:val="001E1FBF"/>
    <w:rsid w:val="001E59FA"/>
    <w:rsid w:val="001F1232"/>
    <w:rsid w:val="001F1BC4"/>
    <w:rsid w:val="001F22CA"/>
    <w:rsid w:val="001F3C2D"/>
    <w:rsid w:val="001F4731"/>
    <w:rsid w:val="0020173D"/>
    <w:rsid w:val="00201925"/>
    <w:rsid w:val="00202295"/>
    <w:rsid w:val="00202D27"/>
    <w:rsid w:val="00206CD2"/>
    <w:rsid w:val="00207FEA"/>
    <w:rsid w:val="00210242"/>
    <w:rsid w:val="002133F2"/>
    <w:rsid w:val="00214012"/>
    <w:rsid w:val="0021624D"/>
    <w:rsid w:val="0022660F"/>
    <w:rsid w:val="00232371"/>
    <w:rsid w:val="00232C59"/>
    <w:rsid w:val="00240B94"/>
    <w:rsid w:val="00241AF4"/>
    <w:rsid w:val="00243EB0"/>
    <w:rsid w:val="00245AD9"/>
    <w:rsid w:val="00250009"/>
    <w:rsid w:val="0025223F"/>
    <w:rsid w:val="00254C96"/>
    <w:rsid w:val="00257A01"/>
    <w:rsid w:val="0026144F"/>
    <w:rsid w:val="00261836"/>
    <w:rsid w:val="00262EE7"/>
    <w:rsid w:val="00263F99"/>
    <w:rsid w:val="00264B2E"/>
    <w:rsid w:val="00266092"/>
    <w:rsid w:val="002714B7"/>
    <w:rsid w:val="00277918"/>
    <w:rsid w:val="0027799D"/>
    <w:rsid w:val="00282F8F"/>
    <w:rsid w:val="00285AF9"/>
    <w:rsid w:val="00291172"/>
    <w:rsid w:val="00293138"/>
    <w:rsid w:val="00295FC0"/>
    <w:rsid w:val="002A0DED"/>
    <w:rsid w:val="002A29D6"/>
    <w:rsid w:val="002B37C0"/>
    <w:rsid w:val="002C03AD"/>
    <w:rsid w:val="002C402B"/>
    <w:rsid w:val="002C4652"/>
    <w:rsid w:val="002C78AD"/>
    <w:rsid w:val="002D286D"/>
    <w:rsid w:val="002D3992"/>
    <w:rsid w:val="002D4384"/>
    <w:rsid w:val="002E0905"/>
    <w:rsid w:val="002E0F5B"/>
    <w:rsid w:val="002E4C25"/>
    <w:rsid w:val="002E53F4"/>
    <w:rsid w:val="002E61B0"/>
    <w:rsid w:val="002F0CB2"/>
    <w:rsid w:val="002F0F82"/>
    <w:rsid w:val="002F7BE9"/>
    <w:rsid w:val="00300EA6"/>
    <w:rsid w:val="00301B2F"/>
    <w:rsid w:val="0030328F"/>
    <w:rsid w:val="003032DF"/>
    <w:rsid w:val="00303571"/>
    <w:rsid w:val="003039A1"/>
    <w:rsid w:val="00303F14"/>
    <w:rsid w:val="00310C25"/>
    <w:rsid w:val="003119DF"/>
    <w:rsid w:val="00311BB8"/>
    <w:rsid w:val="003127A0"/>
    <w:rsid w:val="003133A4"/>
    <w:rsid w:val="00313954"/>
    <w:rsid w:val="00321564"/>
    <w:rsid w:val="00324E03"/>
    <w:rsid w:val="00327EAA"/>
    <w:rsid w:val="00327EFC"/>
    <w:rsid w:val="00330915"/>
    <w:rsid w:val="00334B83"/>
    <w:rsid w:val="00335491"/>
    <w:rsid w:val="0034021B"/>
    <w:rsid w:val="003403D3"/>
    <w:rsid w:val="00341D67"/>
    <w:rsid w:val="003461A7"/>
    <w:rsid w:val="00346D29"/>
    <w:rsid w:val="003523D3"/>
    <w:rsid w:val="00353BBA"/>
    <w:rsid w:val="00357846"/>
    <w:rsid w:val="00361A20"/>
    <w:rsid w:val="00362F9B"/>
    <w:rsid w:val="00363412"/>
    <w:rsid w:val="003642BA"/>
    <w:rsid w:val="0036680A"/>
    <w:rsid w:val="0036768F"/>
    <w:rsid w:val="00370DE6"/>
    <w:rsid w:val="00373123"/>
    <w:rsid w:val="0037568D"/>
    <w:rsid w:val="003758B1"/>
    <w:rsid w:val="00381F0F"/>
    <w:rsid w:val="00386AF1"/>
    <w:rsid w:val="00387BF5"/>
    <w:rsid w:val="00391DB8"/>
    <w:rsid w:val="003936F3"/>
    <w:rsid w:val="003940F6"/>
    <w:rsid w:val="003946CB"/>
    <w:rsid w:val="003962CC"/>
    <w:rsid w:val="003A01A9"/>
    <w:rsid w:val="003A323C"/>
    <w:rsid w:val="003A4642"/>
    <w:rsid w:val="003A5507"/>
    <w:rsid w:val="003B2D66"/>
    <w:rsid w:val="003B37B7"/>
    <w:rsid w:val="003B3B8C"/>
    <w:rsid w:val="003B7B6D"/>
    <w:rsid w:val="003C042E"/>
    <w:rsid w:val="003C0F5F"/>
    <w:rsid w:val="003C2753"/>
    <w:rsid w:val="003C46DB"/>
    <w:rsid w:val="003C4C12"/>
    <w:rsid w:val="003C5D2D"/>
    <w:rsid w:val="003C5E29"/>
    <w:rsid w:val="003C6206"/>
    <w:rsid w:val="003D166B"/>
    <w:rsid w:val="003D326F"/>
    <w:rsid w:val="003D3AFB"/>
    <w:rsid w:val="003D7E06"/>
    <w:rsid w:val="003E3DA9"/>
    <w:rsid w:val="003E40EE"/>
    <w:rsid w:val="003E56BD"/>
    <w:rsid w:val="003E7341"/>
    <w:rsid w:val="003E7A7B"/>
    <w:rsid w:val="003F08B7"/>
    <w:rsid w:val="003F2640"/>
    <w:rsid w:val="003F39BE"/>
    <w:rsid w:val="003F52D9"/>
    <w:rsid w:val="004006E2"/>
    <w:rsid w:val="00405D3A"/>
    <w:rsid w:val="00406588"/>
    <w:rsid w:val="0040783B"/>
    <w:rsid w:val="00410D91"/>
    <w:rsid w:val="004111F0"/>
    <w:rsid w:val="00414976"/>
    <w:rsid w:val="0041531A"/>
    <w:rsid w:val="00415DD5"/>
    <w:rsid w:val="00417C3E"/>
    <w:rsid w:val="004272EA"/>
    <w:rsid w:val="004302FA"/>
    <w:rsid w:val="0043064B"/>
    <w:rsid w:val="00433150"/>
    <w:rsid w:val="004369E3"/>
    <w:rsid w:val="00440F12"/>
    <w:rsid w:val="0044150E"/>
    <w:rsid w:val="0044192B"/>
    <w:rsid w:val="00443BD0"/>
    <w:rsid w:val="00451483"/>
    <w:rsid w:val="00451552"/>
    <w:rsid w:val="00452592"/>
    <w:rsid w:val="004622A9"/>
    <w:rsid w:val="004630F2"/>
    <w:rsid w:val="004634A1"/>
    <w:rsid w:val="0046562B"/>
    <w:rsid w:val="004669AC"/>
    <w:rsid w:val="00474618"/>
    <w:rsid w:val="00477CEF"/>
    <w:rsid w:val="00482DB4"/>
    <w:rsid w:val="00483B74"/>
    <w:rsid w:val="004852F7"/>
    <w:rsid w:val="0048586D"/>
    <w:rsid w:val="00492113"/>
    <w:rsid w:val="004944BF"/>
    <w:rsid w:val="004958DE"/>
    <w:rsid w:val="00495AFA"/>
    <w:rsid w:val="004963AE"/>
    <w:rsid w:val="004973F0"/>
    <w:rsid w:val="00497E7D"/>
    <w:rsid w:val="004A0421"/>
    <w:rsid w:val="004A678F"/>
    <w:rsid w:val="004B017C"/>
    <w:rsid w:val="004B10DB"/>
    <w:rsid w:val="004B1CD8"/>
    <w:rsid w:val="004B1D2A"/>
    <w:rsid w:val="004B3246"/>
    <w:rsid w:val="004B4E4B"/>
    <w:rsid w:val="004B7288"/>
    <w:rsid w:val="004C18A1"/>
    <w:rsid w:val="004C6618"/>
    <w:rsid w:val="004D28E2"/>
    <w:rsid w:val="004D33B8"/>
    <w:rsid w:val="004D3D50"/>
    <w:rsid w:val="004D400B"/>
    <w:rsid w:val="004D4617"/>
    <w:rsid w:val="004E3A2F"/>
    <w:rsid w:val="004F00D6"/>
    <w:rsid w:val="004F1810"/>
    <w:rsid w:val="004F5B74"/>
    <w:rsid w:val="004F65F9"/>
    <w:rsid w:val="00500BD6"/>
    <w:rsid w:val="005015C5"/>
    <w:rsid w:val="00503AE3"/>
    <w:rsid w:val="00503EA9"/>
    <w:rsid w:val="00512753"/>
    <w:rsid w:val="00512E1C"/>
    <w:rsid w:val="0051723B"/>
    <w:rsid w:val="00523100"/>
    <w:rsid w:val="00523E23"/>
    <w:rsid w:val="00524784"/>
    <w:rsid w:val="005277D3"/>
    <w:rsid w:val="00527B2A"/>
    <w:rsid w:val="0053184A"/>
    <w:rsid w:val="0053268A"/>
    <w:rsid w:val="00540C1A"/>
    <w:rsid w:val="00541DF7"/>
    <w:rsid w:val="00546772"/>
    <w:rsid w:val="005503C7"/>
    <w:rsid w:val="00551179"/>
    <w:rsid w:val="005515D9"/>
    <w:rsid w:val="00553476"/>
    <w:rsid w:val="00564E08"/>
    <w:rsid w:val="00567AB6"/>
    <w:rsid w:val="00567DBA"/>
    <w:rsid w:val="00570629"/>
    <w:rsid w:val="00571641"/>
    <w:rsid w:val="00571FD7"/>
    <w:rsid w:val="00572E02"/>
    <w:rsid w:val="005736B9"/>
    <w:rsid w:val="005751D8"/>
    <w:rsid w:val="00577E05"/>
    <w:rsid w:val="00582F34"/>
    <w:rsid w:val="005919C1"/>
    <w:rsid w:val="005A3E0F"/>
    <w:rsid w:val="005A5809"/>
    <w:rsid w:val="005A609A"/>
    <w:rsid w:val="005A6C24"/>
    <w:rsid w:val="005B0167"/>
    <w:rsid w:val="005B1215"/>
    <w:rsid w:val="005B23F2"/>
    <w:rsid w:val="005B2C39"/>
    <w:rsid w:val="005B4651"/>
    <w:rsid w:val="005B5636"/>
    <w:rsid w:val="005B7691"/>
    <w:rsid w:val="005C1E4E"/>
    <w:rsid w:val="005C49F2"/>
    <w:rsid w:val="005C4E42"/>
    <w:rsid w:val="005C696A"/>
    <w:rsid w:val="005C6AE4"/>
    <w:rsid w:val="005D279F"/>
    <w:rsid w:val="005D4306"/>
    <w:rsid w:val="005D4640"/>
    <w:rsid w:val="005D7674"/>
    <w:rsid w:val="005E0716"/>
    <w:rsid w:val="005E572E"/>
    <w:rsid w:val="005E70F7"/>
    <w:rsid w:val="005F081E"/>
    <w:rsid w:val="005F5C85"/>
    <w:rsid w:val="005F6322"/>
    <w:rsid w:val="005F7E98"/>
    <w:rsid w:val="00600AB2"/>
    <w:rsid w:val="0060101B"/>
    <w:rsid w:val="00601D07"/>
    <w:rsid w:val="00602189"/>
    <w:rsid w:val="00602317"/>
    <w:rsid w:val="00606C4A"/>
    <w:rsid w:val="00607F04"/>
    <w:rsid w:val="006122DE"/>
    <w:rsid w:val="00616F5F"/>
    <w:rsid w:val="00621827"/>
    <w:rsid w:val="00622ADF"/>
    <w:rsid w:val="00622D8F"/>
    <w:rsid w:val="00623B3C"/>
    <w:rsid w:val="0063098A"/>
    <w:rsid w:val="00630D91"/>
    <w:rsid w:val="00633FE8"/>
    <w:rsid w:val="00635103"/>
    <w:rsid w:val="006353C6"/>
    <w:rsid w:val="0063766E"/>
    <w:rsid w:val="00645117"/>
    <w:rsid w:val="006461D6"/>
    <w:rsid w:val="00646465"/>
    <w:rsid w:val="00650DCF"/>
    <w:rsid w:val="0065490A"/>
    <w:rsid w:val="00663180"/>
    <w:rsid w:val="00670EB9"/>
    <w:rsid w:val="0067456A"/>
    <w:rsid w:val="00680854"/>
    <w:rsid w:val="00682491"/>
    <w:rsid w:val="00687964"/>
    <w:rsid w:val="00687B82"/>
    <w:rsid w:val="00690256"/>
    <w:rsid w:val="006A0300"/>
    <w:rsid w:val="006A1009"/>
    <w:rsid w:val="006A508E"/>
    <w:rsid w:val="006A5D62"/>
    <w:rsid w:val="006B280C"/>
    <w:rsid w:val="006B6177"/>
    <w:rsid w:val="006B67E4"/>
    <w:rsid w:val="006B7DFA"/>
    <w:rsid w:val="006C1CC6"/>
    <w:rsid w:val="006C3626"/>
    <w:rsid w:val="006C69D6"/>
    <w:rsid w:val="006D5EB3"/>
    <w:rsid w:val="006D728D"/>
    <w:rsid w:val="006E4872"/>
    <w:rsid w:val="006E5412"/>
    <w:rsid w:val="006E5D5E"/>
    <w:rsid w:val="006F3AED"/>
    <w:rsid w:val="006F56D3"/>
    <w:rsid w:val="006F5DC1"/>
    <w:rsid w:val="006F6643"/>
    <w:rsid w:val="00702FD4"/>
    <w:rsid w:val="0070332A"/>
    <w:rsid w:val="00714875"/>
    <w:rsid w:val="00716A06"/>
    <w:rsid w:val="00720C9C"/>
    <w:rsid w:val="007224DB"/>
    <w:rsid w:val="00727475"/>
    <w:rsid w:val="0073318B"/>
    <w:rsid w:val="00735A63"/>
    <w:rsid w:val="00735F27"/>
    <w:rsid w:val="007450F6"/>
    <w:rsid w:val="00746804"/>
    <w:rsid w:val="007510A8"/>
    <w:rsid w:val="0075224F"/>
    <w:rsid w:val="00752A2B"/>
    <w:rsid w:val="00763A67"/>
    <w:rsid w:val="00763ABE"/>
    <w:rsid w:val="0076572D"/>
    <w:rsid w:val="00773201"/>
    <w:rsid w:val="0077509D"/>
    <w:rsid w:val="00776B22"/>
    <w:rsid w:val="0078191E"/>
    <w:rsid w:val="007824C0"/>
    <w:rsid w:val="00782AA4"/>
    <w:rsid w:val="00786195"/>
    <w:rsid w:val="007913A7"/>
    <w:rsid w:val="00791B9C"/>
    <w:rsid w:val="00794491"/>
    <w:rsid w:val="007A10C8"/>
    <w:rsid w:val="007A12BC"/>
    <w:rsid w:val="007A1F6A"/>
    <w:rsid w:val="007A4256"/>
    <w:rsid w:val="007A6ED6"/>
    <w:rsid w:val="007B3B0A"/>
    <w:rsid w:val="007B45E1"/>
    <w:rsid w:val="007B4BC5"/>
    <w:rsid w:val="007B5844"/>
    <w:rsid w:val="007C08C5"/>
    <w:rsid w:val="007C138E"/>
    <w:rsid w:val="007C3100"/>
    <w:rsid w:val="007C75C8"/>
    <w:rsid w:val="007D0D44"/>
    <w:rsid w:val="007D1945"/>
    <w:rsid w:val="007D2994"/>
    <w:rsid w:val="007D4415"/>
    <w:rsid w:val="007D5928"/>
    <w:rsid w:val="007D7CAA"/>
    <w:rsid w:val="007E5230"/>
    <w:rsid w:val="00800276"/>
    <w:rsid w:val="008004CC"/>
    <w:rsid w:val="00800B48"/>
    <w:rsid w:val="008014D4"/>
    <w:rsid w:val="00805676"/>
    <w:rsid w:val="008077D4"/>
    <w:rsid w:val="0081017A"/>
    <w:rsid w:val="00810DFF"/>
    <w:rsid w:val="00817BCC"/>
    <w:rsid w:val="008223F8"/>
    <w:rsid w:val="008229C8"/>
    <w:rsid w:val="0082344E"/>
    <w:rsid w:val="0082732A"/>
    <w:rsid w:val="008310E5"/>
    <w:rsid w:val="00831711"/>
    <w:rsid w:val="008335E1"/>
    <w:rsid w:val="0083656B"/>
    <w:rsid w:val="00836B58"/>
    <w:rsid w:val="00842946"/>
    <w:rsid w:val="00842981"/>
    <w:rsid w:val="008433F7"/>
    <w:rsid w:val="00847576"/>
    <w:rsid w:val="00853D2E"/>
    <w:rsid w:val="00855197"/>
    <w:rsid w:val="00855259"/>
    <w:rsid w:val="00860FF0"/>
    <w:rsid w:val="008710C4"/>
    <w:rsid w:val="00873D5E"/>
    <w:rsid w:val="00881122"/>
    <w:rsid w:val="00881AB7"/>
    <w:rsid w:val="008842BC"/>
    <w:rsid w:val="00890A06"/>
    <w:rsid w:val="00891192"/>
    <w:rsid w:val="0089371A"/>
    <w:rsid w:val="008948D8"/>
    <w:rsid w:val="008A0BB3"/>
    <w:rsid w:val="008A0EF9"/>
    <w:rsid w:val="008A2E87"/>
    <w:rsid w:val="008A5600"/>
    <w:rsid w:val="008B1092"/>
    <w:rsid w:val="008B2253"/>
    <w:rsid w:val="008B2965"/>
    <w:rsid w:val="008B5E72"/>
    <w:rsid w:val="008B6042"/>
    <w:rsid w:val="008B687D"/>
    <w:rsid w:val="008C255B"/>
    <w:rsid w:val="008C416B"/>
    <w:rsid w:val="008C5698"/>
    <w:rsid w:val="008D2C7B"/>
    <w:rsid w:val="008D41EB"/>
    <w:rsid w:val="008D4F9A"/>
    <w:rsid w:val="008D5019"/>
    <w:rsid w:val="008E15F4"/>
    <w:rsid w:val="008E2124"/>
    <w:rsid w:val="008E2C0F"/>
    <w:rsid w:val="008F3AE0"/>
    <w:rsid w:val="008F636E"/>
    <w:rsid w:val="009017AA"/>
    <w:rsid w:val="00903E57"/>
    <w:rsid w:val="00912D8A"/>
    <w:rsid w:val="0091349B"/>
    <w:rsid w:val="0091400E"/>
    <w:rsid w:val="00931670"/>
    <w:rsid w:val="009326E2"/>
    <w:rsid w:val="0093298A"/>
    <w:rsid w:val="00932DDD"/>
    <w:rsid w:val="00933BC3"/>
    <w:rsid w:val="00937B91"/>
    <w:rsid w:val="00940A9E"/>
    <w:rsid w:val="009444FF"/>
    <w:rsid w:val="00947951"/>
    <w:rsid w:val="00954DA3"/>
    <w:rsid w:val="00955C62"/>
    <w:rsid w:val="00956077"/>
    <w:rsid w:val="00957BCA"/>
    <w:rsid w:val="00957D53"/>
    <w:rsid w:val="00960056"/>
    <w:rsid w:val="0096355B"/>
    <w:rsid w:val="009739DD"/>
    <w:rsid w:val="00974029"/>
    <w:rsid w:val="00976076"/>
    <w:rsid w:val="0098008C"/>
    <w:rsid w:val="00984A1B"/>
    <w:rsid w:val="00987F18"/>
    <w:rsid w:val="00993468"/>
    <w:rsid w:val="009960F8"/>
    <w:rsid w:val="009A0E5E"/>
    <w:rsid w:val="009A1481"/>
    <w:rsid w:val="009A39BC"/>
    <w:rsid w:val="009A4D18"/>
    <w:rsid w:val="009B21DB"/>
    <w:rsid w:val="009B286F"/>
    <w:rsid w:val="009B4E67"/>
    <w:rsid w:val="009C7566"/>
    <w:rsid w:val="009C7FF7"/>
    <w:rsid w:val="009D061F"/>
    <w:rsid w:val="009D16CD"/>
    <w:rsid w:val="009D1780"/>
    <w:rsid w:val="009D5B7F"/>
    <w:rsid w:val="009D776E"/>
    <w:rsid w:val="009E1F70"/>
    <w:rsid w:val="009E2F63"/>
    <w:rsid w:val="009E385E"/>
    <w:rsid w:val="009E5595"/>
    <w:rsid w:val="009F1D6B"/>
    <w:rsid w:val="009F258E"/>
    <w:rsid w:val="009F3847"/>
    <w:rsid w:val="009F591C"/>
    <w:rsid w:val="00A00C85"/>
    <w:rsid w:val="00A00DA8"/>
    <w:rsid w:val="00A037B1"/>
    <w:rsid w:val="00A07179"/>
    <w:rsid w:val="00A1202C"/>
    <w:rsid w:val="00A12530"/>
    <w:rsid w:val="00A12D29"/>
    <w:rsid w:val="00A1433C"/>
    <w:rsid w:val="00A148CC"/>
    <w:rsid w:val="00A22489"/>
    <w:rsid w:val="00A230BF"/>
    <w:rsid w:val="00A2409C"/>
    <w:rsid w:val="00A25FD9"/>
    <w:rsid w:val="00A26B89"/>
    <w:rsid w:val="00A26F8A"/>
    <w:rsid w:val="00A33917"/>
    <w:rsid w:val="00A413DA"/>
    <w:rsid w:val="00A458E9"/>
    <w:rsid w:val="00A4750E"/>
    <w:rsid w:val="00A50C4F"/>
    <w:rsid w:val="00A558EC"/>
    <w:rsid w:val="00A57A1F"/>
    <w:rsid w:val="00A62E2C"/>
    <w:rsid w:val="00A675EB"/>
    <w:rsid w:val="00A70FD6"/>
    <w:rsid w:val="00A71EB9"/>
    <w:rsid w:val="00A73009"/>
    <w:rsid w:val="00A765C1"/>
    <w:rsid w:val="00A77287"/>
    <w:rsid w:val="00A82613"/>
    <w:rsid w:val="00A84052"/>
    <w:rsid w:val="00A90BE2"/>
    <w:rsid w:val="00AA235F"/>
    <w:rsid w:val="00AA346F"/>
    <w:rsid w:val="00AA3D2A"/>
    <w:rsid w:val="00AA3E8E"/>
    <w:rsid w:val="00AA6591"/>
    <w:rsid w:val="00AA78EA"/>
    <w:rsid w:val="00AB0D7F"/>
    <w:rsid w:val="00AB17A8"/>
    <w:rsid w:val="00AB2431"/>
    <w:rsid w:val="00AB265C"/>
    <w:rsid w:val="00AB4D5A"/>
    <w:rsid w:val="00AB6112"/>
    <w:rsid w:val="00AB681D"/>
    <w:rsid w:val="00AC226A"/>
    <w:rsid w:val="00AC2301"/>
    <w:rsid w:val="00AC4BFB"/>
    <w:rsid w:val="00AD016D"/>
    <w:rsid w:val="00AD02BD"/>
    <w:rsid w:val="00AD330F"/>
    <w:rsid w:val="00AD6538"/>
    <w:rsid w:val="00AD73DD"/>
    <w:rsid w:val="00AE028E"/>
    <w:rsid w:val="00AE3D94"/>
    <w:rsid w:val="00AF03A3"/>
    <w:rsid w:val="00AF0B1E"/>
    <w:rsid w:val="00AF3BF2"/>
    <w:rsid w:val="00AF4CC0"/>
    <w:rsid w:val="00AF5605"/>
    <w:rsid w:val="00B00A59"/>
    <w:rsid w:val="00B0120C"/>
    <w:rsid w:val="00B03D22"/>
    <w:rsid w:val="00B04676"/>
    <w:rsid w:val="00B05AF7"/>
    <w:rsid w:val="00B06700"/>
    <w:rsid w:val="00B15F99"/>
    <w:rsid w:val="00B2012B"/>
    <w:rsid w:val="00B203DD"/>
    <w:rsid w:val="00B218C1"/>
    <w:rsid w:val="00B22DFE"/>
    <w:rsid w:val="00B23CFA"/>
    <w:rsid w:val="00B27423"/>
    <w:rsid w:val="00B2755C"/>
    <w:rsid w:val="00B27903"/>
    <w:rsid w:val="00B32686"/>
    <w:rsid w:val="00B328A1"/>
    <w:rsid w:val="00B338EE"/>
    <w:rsid w:val="00B378D2"/>
    <w:rsid w:val="00B52DB0"/>
    <w:rsid w:val="00B53C10"/>
    <w:rsid w:val="00B54877"/>
    <w:rsid w:val="00B57D9E"/>
    <w:rsid w:val="00B60B56"/>
    <w:rsid w:val="00B6348A"/>
    <w:rsid w:val="00B64F40"/>
    <w:rsid w:val="00B651F0"/>
    <w:rsid w:val="00B65538"/>
    <w:rsid w:val="00B66E9D"/>
    <w:rsid w:val="00B67D98"/>
    <w:rsid w:val="00B71483"/>
    <w:rsid w:val="00B7166D"/>
    <w:rsid w:val="00B72737"/>
    <w:rsid w:val="00B7278F"/>
    <w:rsid w:val="00B7295B"/>
    <w:rsid w:val="00B748E9"/>
    <w:rsid w:val="00B75090"/>
    <w:rsid w:val="00B77673"/>
    <w:rsid w:val="00B8270F"/>
    <w:rsid w:val="00B829E7"/>
    <w:rsid w:val="00B84780"/>
    <w:rsid w:val="00B85805"/>
    <w:rsid w:val="00B86EE8"/>
    <w:rsid w:val="00B90307"/>
    <w:rsid w:val="00B93189"/>
    <w:rsid w:val="00B96BF1"/>
    <w:rsid w:val="00BA1A81"/>
    <w:rsid w:val="00BA2600"/>
    <w:rsid w:val="00BA37D5"/>
    <w:rsid w:val="00BA7A9A"/>
    <w:rsid w:val="00BB17D8"/>
    <w:rsid w:val="00BB52C9"/>
    <w:rsid w:val="00BC0661"/>
    <w:rsid w:val="00BC0867"/>
    <w:rsid w:val="00BC4552"/>
    <w:rsid w:val="00BC592B"/>
    <w:rsid w:val="00BC6006"/>
    <w:rsid w:val="00BC6A0D"/>
    <w:rsid w:val="00BD14DC"/>
    <w:rsid w:val="00BD1B5B"/>
    <w:rsid w:val="00BD24FB"/>
    <w:rsid w:val="00BD5268"/>
    <w:rsid w:val="00BD60F2"/>
    <w:rsid w:val="00BD6223"/>
    <w:rsid w:val="00BD644B"/>
    <w:rsid w:val="00BE061F"/>
    <w:rsid w:val="00BE0A95"/>
    <w:rsid w:val="00BE0E7E"/>
    <w:rsid w:val="00BE1B49"/>
    <w:rsid w:val="00BE20CE"/>
    <w:rsid w:val="00BE2629"/>
    <w:rsid w:val="00BE48C6"/>
    <w:rsid w:val="00BE6669"/>
    <w:rsid w:val="00BF0D48"/>
    <w:rsid w:val="00BF7885"/>
    <w:rsid w:val="00C002A0"/>
    <w:rsid w:val="00C0111D"/>
    <w:rsid w:val="00C06B7C"/>
    <w:rsid w:val="00C07017"/>
    <w:rsid w:val="00C10079"/>
    <w:rsid w:val="00C106D3"/>
    <w:rsid w:val="00C12E70"/>
    <w:rsid w:val="00C15EC3"/>
    <w:rsid w:val="00C2381C"/>
    <w:rsid w:val="00C2685F"/>
    <w:rsid w:val="00C303AA"/>
    <w:rsid w:val="00C306FB"/>
    <w:rsid w:val="00C41D57"/>
    <w:rsid w:val="00C43238"/>
    <w:rsid w:val="00C44BBE"/>
    <w:rsid w:val="00C53A06"/>
    <w:rsid w:val="00C61394"/>
    <w:rsid w:val="00C719F8"/>
    <w:rsid w:val="00C726D6"/>
    <w:rsid w:val="00C72DA2"/>
    <w:rsid w:val="00C738DC"/>
    <w:rsid w:val="00C771AE"/>
    <w:rsid w:val="00C80DBE"/>
    <w:rsid w:val="00C80EBB"/>
    <w:rsid w:val="00C825EC"/>
    <w:rsid w:val="00C86C11"/>
    <w:rsid w:val="00C90C17"/>
    <w:rsid w:val="00C92AD4"/>
    <w:rsid w:val="00C93EE7"/>
    <w:rsid w:val="00C94055"/>
    <w:rsid w:val="00C942B2"/>
    <w:rsid w:val="00C957A0"/>
    <w:rsid w:val="00C97E75"/>
    <w:rsid w:val="00CA096B"/>
    <w:rsid w:val="00CA1E17"/>
    <w:rsid w:val="00CA426B"/>
    <w:rsid w:val="00CA44B9"/>
    <w:rsid w:val="00CA5675"/>
    <w:rsid w:val="00CA57EF"/>
    <w:rsid w:val="00CA5F34"/>
    <w:rsid w:val="00CA70A4"/>
    <w:rsid w:val="00CB0806"/>
    <w:rsid w:val="00CC1672"/>
    <w:rsid w:val="00CC2A74"/>
    <w:rsid w:val="00CC6AD8"/>
    <w:rsid w:val="00CC6B73"/>
    <w:rsid w:val="00CD21B3"/>
    <w:rsid w:val="00CD5A70"/>
    <w:rsid w:val="00CD7376"/>
    <w:rsid w:val="00CD78D1"/>
    <w:rsid w:val="00CD7944"/>
    <w:rsid w:val="00CD79B7"/>
    <w:rsid w:val="00CE291D"/>
    <w:rsid w:val="00CE547E"/>
    <w:rsid w:val="00CF0B7B"/>
    <w:rsid w:val="00CF3B02"/>
    <w:rsid w:val="00CF7E41"/>
    <w:rsid w:val="00D01307"/>
    <w:rsid w:val="00D03DC2"/>
    <w:rsid w:val="00D07599"/>
    <w:rsid w:val="00D0777F"/>
    <w:rsid w:val="00D10C9B"/>
    <w:rsid w:val="00D10F05"/>
    <w:rsid w:val="00D10F68"/>
    <w:rsid w:val="00D15557"/>
    <w:rsid w:val="00D17338"/>
    <w:rsid w:val="00D2043A"/>
    <w:rsid w:val="00D20836"/>
    <w:rsid w:val="00D30DBA"/>
    <w:rsid w:val="00D310FE"/>
    <w:rsid w:val="00D32245"/>
    <w:rsid w:val="00D36DE2"/>
    <w:rsid w:val="00D3724D"/>
    <w:rsid w:val="00D41AE5"/>
    <w:rsid w:val="00D43673"/>
    <w:rsid w:val="00D5002A"/>
    <w:rsid w:val="00D5785C"/>
    <w:rsid w:val="00D61AE9"/>
    <w:rsid w:val="00D61FD4"/>
    <w:rsid w:val="00D629B6"/>
    <w:rsid w:val="00D6497E"/>
    <w:rsid w:val="00D669DD"/>
    <w:rsid w:val="00D71390"/>
    <w:rsid w:val="00D72694"/>
    <w:rsid w:val="00D73A18"/>
    <w:rsid w:val="00D8078E"/>
    <w:rsid w:val="00D82B29"/>
    <w:rsid w:val="00D82E18"/>
    <w:rsid w:val="00D84EC9"/>
    <w:rsid w:val="00D857CF"/>
    <w:rsid w:val="00D8614F"/>
    <w:rsid w:val="00D87479"/>
    <w:rsid w:val="00D90D2E"/>
    <w:rsid w:val="00D947BE"/>
    <w:rsid w:val="00D95FA8"/>
    <w:rsid w:val="00DA5B1B"/>
    <w:rsid w:val="00DA5DD6"/>
    <w:rsid w:val="00DB05B9"/>
    <w:rsid w:val="00DB2FA0"/>
    <w:rsid w:val="00DB794A"/>
    <w:rsid w:val="00DB7B64"/>
    <w:rsid w:val="00DC0351"/>
    <w:rsid w:val="00DC48CE"/>
    <w:rsid w:val="00DD108B"/>
    <w:rsid w:val="00DD4335"/>
    <w:rsid w:val="00DD7A56"/>
    <w:rsid w:val="00DE3919"/>
    <w:rsid w:val="00DE48E7"/>
    <w:rsid w:val="00DE5A3E"/>
    <w:rsid w:val="00DE5DCD"/>
    <w:rsid w:val="00DE6A85"/>
    <w:rsid w:val="00DF0511"/>
    <w:rsid w:val="00DF1631"/>
    <w:rsid w:val="00DF6D5D"/>
    <w:rsid w:val="00E04E83"/>
    <w:rsid w:val="00E051C3"/>
    <w:rsid w:val="00E058EC"/>
    <w:rsid w:val="00E066DF"/>
    <w:rsid w:val="00E10952"/>
    <w:rsid w:val="00E1173B"/>
    <w:rsid w:val="00E12C6A"/>
    <w:rsid w:val="00E13B0F"/>
    <w:rsid w:val="00E14FE3"/>
    <w:rsid w:val="00E15CD1"/>
    <w:rsid w:val="00E20AC0"/>
    <w:rsid w:val="00E2672A"/>
    <w:rsid w:val="00E26B2E"/>
    <w:rsid w:val="00E270AF"/>
    <w:rsid w:val="00E316D2"/>
    <w:rsid w:val="00E32004"/>
    <w:rsid w:val="00E35A99"/>
    <w:rsid w:val="00E35E78"/>
    <w:rsid w:val="00E4054F"/>
    <w:rsid w:val="00E41A93"/>
    <w:rsid w:val="00E421E5"/>
    <w:rsid w:val="00E42F1E"/>
    <w:rsid w:val="00E440EC"/>
    <w:rsid w:val="00E47634"/>
    <w:rsid w:val="00E51955"/>
    <w:rsid w:val="00E52E30"/>
    <w:rsid w:val="00E54F30"/>
    <w:rsid w:val="00E56127"/>
    <w:rsid w:val="00E66D54"/>
    <w:rsid w:val="00E67E18"/>
    <w:rsid w:val="00E71101"/>
    <w:rsid w:val="00E718B4"/>
    <w:rsid w:val="00E71EE0"/>
    <w:rsid w:val="00E75CFD"/>
    <w:rsid w:val="00E77534"/>
    <w:rsid w:val="00E7781A"/>
    <w:rsid w:val="00E81EC3"/>
    <w:rsid w:val="00E825E0"/>
    <w:rsid w:val="00E851D3"/>
    <w:rsid w:val="00E8758E"/>
    <w:rsid w:val="00E91FE2"/>
    <w:rsid w:val="00E94515"/>
    <w:rsid w:val="00EA0556"/>
    <w:rsid w:val="00EA08DE"/>
    <w:rsid w:val="00EA111E"/>
    <w:rsid w:val="00EA6F39"/>
    <w:rsid w:val="00EB0CFA"/>
    <w:rsid w:val="00EB1246"/>
    <w:rsid w:val="00EB4FBC"/>
    <w:rsid w:val="00EB5997"/>
    <w:rsid w:val="00EB6CDB"/>
    <w:rsid w:val="00EB733B"/>
    <w:rsid w:val="00EC3D05"/>
    <w:rsid w:val="00EC7678"/>
    <w:rsid w:val="00ED17B3"/>
    <w:rsid w:val="00ED1A40"/>
    <w:rsid w:val="00ED5475"/>
    <w:rsid w:val="00EE1476"/>
    <w:rsid w:val="00EE289A"/>
    <w:rsid w:val="00EE787B"/>
    <w:rsid w:val="00EE7F53"/>
    <w:rsid w:val="00EF4C2B"/>
    <w:rsid w:val="00EF4C6C"/>
    <w:rsid w:val="00EF7BCA"/>
    <w:rsid w:val="00F03868"/>
    <w:rsid w:val="00F03C8A"/>
    <w:rsid w:val="00F05725"/>
    <w:rsid w:val="00F07CF0"/>
    <w:rsid w:val="00F14C0F"/>
    <w:rsid w:val="00F14FDD"/>
    <w:rsid w:val="00F17AD3"/>
    <w:rsid w:val="00F227BF"/>
    <w:rsid w:val="00F23714"/>
    <w:rsid w:val="00F24824"/>
    <w:rsid w:val="00F25A73"/>
    <w:rsid w:val="00F26A2B"/>
    <w:rsid w:val="00F26C25"/>
    <w:rsid w:val="00F2709C"/>
    <w:rsid w:val="00F31223"/>
    <w:rsid w:val="00F32EC0"/>
    <w:rsid w:val="00F359ED"/>
    <w:rsid w:val="00F40F7F"/>
    <w:rsid w:val="00F44FDE"/>
    <w:rsid w:val="00F452D1"/>
    <w:rsid w:val="00F47112"/>
    <w:rsid w:val="00F52ED6"/>
    <w:rsid w:val="00F53922"/>
    <w:rsid w:val="00F545F2"/>
    <w:rsid w:val="00F566B0"/>
    <w:rsid w:val="00F61B6F"/>
    <w:rsid w:val="00F6583F"/>
    <w:rsid w:val="00F65C9D"/>
    <w:rsid w:val="00F745E8"/>
    <w:rsid w:val="00F7603C"/>
    <w:rsid w:val="00F77D67"/>
    <w:rsid w:val="00F848EF"/>
    <w:rsid w:val="00F91A3E"/>
    <w:rsid w:val="00F92F31"/>
    <w:rsid w:val="00F935C3"/>
    <w:rsid w:val="00F93ABA"/>
    <w:rsid w:val="00FA41EC"/>
    <w:rsid w:val="00FA4DE9"/>
    <w:rsid w:val="00FB29F3"/>
    <w:rsid w:val="00FB3987"/>
    <w:rsid w:val="00FB4BF3"/>
    <w:rsid w:val="00FC517F"/>
    <w:rsid w:val="00FC6941"/>
    <w:rsid w:val="00FC7314"/>
    <w:rsid w:val="00FD15FA"/>
    <w:rsid w:val="00FD3B7E"/>
    <w:rsid w:val="00FD4E0D"/>
    <w:rsid w:val="00FE2C05"/>
    <w:rsid w:val="00FE3143"/>
    <w:rsid w:val="00FE7B9F"/>
    <w:rsid w:val="00FF072E"/>
    <w:rsid w:val="00FF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4EDD3"/>
  <w15:docId w15:val="{849B0F88-9DAE-46EF-BE97-2C0C5318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iPriority="0" w:unhideWhenUsed="1"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804"/>
    <w:pPr>
      <w:spacing w:after="200" w:line="276" w:lineRule="auto"/>
    </w:pPr>
    <w:rPr>
      <w:sz w:val="22"/>
      <w:szCs w:val="22"/>
    </w:rPr>
  </w:style>
  <w:style w:type="paragraph" w:styleId="Heading1">
    <w:name w:val="heading 1"/>
    <w:aliases w:val="CROMS_Heading 1"/>
    <w:basedOn w:val="CROMSText"/>
    <w:next w:val="CROMSText"/>
    <w:link w:val="Heading1Char"/>
    <w:qFormat/>
    <w:rsid w:val="00CA5F34"/>
    <w:pPr>
      <w:keepNext/>
      <w:numPr>
        <w:numId w:val="17"/>
      </w:numPr>
      <w:spacing w:before="360"/>
      <w:outlineLvl w:val="0"/>
    </w:pPr>
    <w:rPr>
      <w:rFonts w:eastAsia="Times New Roman"/>
      <w:b/>
      <w:bCs/>
      <w:caps/>
      <w:kern w:val="32"/>
      <w:sz w:val="24"/>
      <w:szCs w:val="32"/>
    </w:rPr>
  </w:style>
  <w:style w:type="paragraph" w:styleId="Heading2">
    <w:name w:val="heading 2"/>
    <w:aliases w:val="CROMS_Heading 2"/>
    <w:basedOn w:val="Heading1"/>
    <w:next w:val="CROMSText"/>
    <w:link w:val="Heading2Char"/>
    <w:qFormat/>
    <w:rsid w:val="007D5928"/>
    <w:pPr>
      <w:numPr>
        <w:ilvl w:val="1"/>
      </w:numPr>
      <w:spacing w:before="240" w:after="0"/>
      <w:outlineLvl w:val="1"/>
    </w:pPr>
    <w:rPr>
      <w:bCs w:val="0"/>
      <w:iCs/>
      <w:caps w:val="0"/>
      <w:szCs w:val="28"/>
    </w:rPr>
  </w:style>
  <w:style w:type="paragraph" w:styleId="Heading3">
    <w:name w:val="heading 3"/>
    <w:aliases w:val="CROMS_Heading 3"/>
    <w:basedOn w:val="Heading2"/>
    <w:next w:val="CROMSText"/>
    <w:link w:val="Heading3Char"/>
    <w:uiPriority w:val="2"/>
    <w:qFormat/>
    <w:rsid w:val="007D5928"/>
    <w:pPr>
      <w:numPr>
        <w:ilvl w:val="2"/>
      </w:numPr>
      <w:outlineLvl w:val="2"/>
    </w:pPr>
    <w:rPr>
      <w:bCs/>
      <w:i/>
      <w:szCs w:val="26"/>
    </w:rPr>
  </w:style>
  <w:style w:type="paragraph" w:styleId="Heading4">
    <w:name w:val="heading 4"/>
    <w:aliases w:val="CROMS_Heading 4"/>
    <w:basedOn w:val="Heading3"/>
    <w:next w:val="CROMSText"/>
    <w:link w:val="Heading4Char"/>
    <w:uiPriority w:val="3"/>
    <w:qFormat/>
    <w:rsid w:val="00746804"/>
    <w:pPr>
      <w:numPr>
        <w:ilvl w:val="3"/>
      </w:numPr>
      <w:outlineLvl w:val="3"/>
    </w:pPr>
    <w:rPr>
      <w:b w:val="0"/>
      <w:bCs w:val="0"/>
      <w:i w:val="0"/>
      <w:sz w:val="22"/>
      <w:szCs w:val="28"/>
      <w:u w:val="single"/>
    </w:rPr>
  </w:style>
  <w:style w:type="paragraph" w:styleId="Heading5">
    <w:name w:val="heading 5"/>
    <w:aliases w:val="CROMS_Heading 5"/>
    <w:basedOn w:val="Heading4"/>
    <w:next w:val="CROMSText"/>
    <w:link w:val="Heading5Char"/>
    <w:uiPriority w:val="4"/>
    <w:qFormat/>
    <w:rsid w:val="00746804"/>
    <w:pPr>
      <w:numPr>
        <w:ilvl w:val="4"/>
      </w:numPr>
      <w:outlineLvl w:val="4"/>
    </w:pPr>
    <w:rPr>
      <w:bCs/>
      <w:i/>
      <w:iCs w:val="0"/>
      <w:szCs w:val="26"/>
      <w:u w:val="none"/>
    </w:rPr>
  </w:style>
  <w:style w:type="paragraph" w:styleId="Heading6">
    <w:name w:val="heading 6"/>
    <w:aliases w:val="CROMS_Heading6"/>
    <w:basedOn w:val="Heading5"/>
    <w:next w:val="CROMSText"/>
    <w:link w:val="Heading6Char"/>
    <w:qFormat/>
    <w:rsid w:val="00746804"/>
    <w:pPr>
      <w:numPr>
        <w:ilvl w:val="5"/>
      </w:numPr>
      <w:outlineLvl w:val="5"/>
    </w:pPr>
    <w:rPr>
      <w:bCs w:val="0"/>
      <w:i w:val="0"/>
      <w:u w:val="single"/>
    </w:rPr>
  </w:style>
  <w:style w:type="paragraph" w:styleId="Heading7">
    <w:name w:val="heading 7"/>
    <w:aliases w:val="CROMS_Heading7"/>
    <w:basedOn w:val="Heading6"/>
    <w:next w:val="CROMSText"/>
    <w:link w:val="Heading7Char"/>
    <w:uiPriority w:val="6"/>
    <w:qFormat/>
    <w:rsid w:val="00746804"/>
    <w:pPr>
      <w:numPr>
        <w:ilvl w:val="6"/>
      </w:numPr>
      <w:outlineLvl w:val="6"/>
    </w:pPr>
    <w:rPr>
      <w:szCs w:val="24"/>
      <w:u w:val="none"/>
    </w:rPr>
  </w:style>
  <w:style w:type="paragraph" w:styleId="Heading8">
    <w:name w:val="heading 8"/>
    <w:aliases w:val="CROMS_Heading8"/>
    <w:basedOn w:val="Heading7"/>
    <w:next w:val="CROMSText"/>
    <w:link w:val="Heading8Char"/>
    <w:uiPriority w:val="7"/>
    <w:qFormat/>
    <w:rsid w:val="00746804"/>
    <w:pPr>
      <w:numPr>
        <w:ilvl w:val="7"/>
      </w:numPr>
      <w:outlineLvl w:val="7"/>
    </w:pPr>
    <w:rPr>
      <w:i/>
      <w:iCs/>
      <w:sz w:val="20"/>
    </w:rPr>
  </w:style>
  <w:style w:type="paragraph" w:styleId="Heading9">
    <w:name w:val="heading 9"/>
    <w:aliases w:val="CROMS_Heading9"/>
    <w:basedOn w:val="Heading8"/>
    <w:next w:val="CROMSText"/>
    <w:link w:val="Heading9Char"/>
    <w:uiPriority w:val="8"/>
    <w:qFormat/>
    <w:rsid w:val="00746804"/>
    <w:pPr>
      <w:numPr>
        <w:ilvl w:val="8"/>
      </w:numPr>
      <w:outlineLvl w:val="8"/>
    </w:pPr>
    <w:rPr>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E78"/>
    <w:pPr>
      <w:tabs>
        <w:tab w:val="center" w:pos="4680"/>
        <w:tab w:val="right" w:pos="9360"/>
      </w:tabs>
    </w:pPr>
  </w:style>
  <w:style w:type="character" w:customStyle="1" w:styleId="HeaderChar">
    <w:name w:val="Header Char"/>
    <w:basedOn w:val="DefaultParagraphFont"/>
    <w:link w:val="Header"/>
    <w:uiPriority w:val="99"/>
    <w:rsid w:val="00E35E78"/>
  </w:style>
  <w:style w:type="paragraph" w:styleId="Footer">
    <w:name w:val="footer"/>
    <w:basedOn w:val="Normal"/>
    <w:link w:val="FooterChar"/>
    <w:uiPriority w:val="99"/>
    <w:unhideWhenUsed/>
    <w:rsid w:val="00E35E78"/>
    <w:pPr>
      <w:tabs>
        <w:tab w:val="center" w:pos="4680"/>
        <w:tab w:val="right" w:pos="9360"/>
      </w:tabs>
    </w:pPr>
  </w:style>
  <w:style w:type="character" w:customStyle="1" w:styleId="FooterChar">
    <w:name w:val="Footer Char"/>
    <w:basedOn w:val="DefaultParagraphFont"/>
    <w:link w:val="Footer"/>
    <w:uiPriority w:val="99"/>
    <w:rsid w:val="00E35E78"/>
  </w:style>
  <w:style w:type="paragraph" w:styleId="BalloonText">
    <w:name w:val="Balloon Text"/>
    <w:basedOn w:val="Normal"/>
    <w:link w:val="BalloonTextChar"/>
    <w:uiPriority w:val="99"/>
    <w:semiHidden/>
    <w:unhideWhenUsed/>
    <w:rsid w:val="00E35E7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35E78"/>
    <w:rPr>
      <w:rFonts w:ascii="Tahoma" w:hAnsi="Tahoma" w:cs="Tahoma"/>
      <w:sz w:val="16"/>
      <w:szCs w:val="16"/>
    </w:rPr>
  </w:style>
  <w:style w:type="paragraph" w:styleId="ListParagraph">
    <w:name w:val="List Paragraph"/>
    <w:basedOn w:val="Normal"/>
    <w:uiPriority w:val="34"/>
    <w:qFormat/>
    <w:rsid w:val="00E35E78"/>
    <w:pPr>
      <w:ind w:left="720"/>
    </w:pPr>
  </w:style>
  <w:style w:type="character" w:styleId="CommentReference">
    <w:name w:val="annotation reference"/>
    <w:semiHidden/>
    <w:rsid w:val="00D36DE2"/>
    <w:rPr>
      <w:sz w:val="16"/>
      <w:szCs w:val="16"/>
    </w:rPr>
  </w:style>
  <w:style w:type="paragraph" w:styleId="CommentText">
    <w:name w:val="annotation text"/>
    <w:basedOn w:val="Normal"/>
    <w:link w:val="CommentTextChar"/>
    <w:semiHidden/>
    <w:rsid w:val="00D36DE2"/>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D36DE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0144A"/>
    <w:pPr>
      <w:spacing w:after="200" w:line="276" w:lineRule="auto"/>
    </w:pPr>
    <w:rPr>
      <w:b/>
      <w:bCs/>
    </w:rPr>
  </w:style>
  <w:style w:type="character" w:customStyle="1" w:styleId="CommentSubjectChar">
    <w:name w:val="Comment Subject Char"/>
    <w:link w:val="CommentSubject"/>
    <w:uiPriority w:val="99"/>
    <w:semiHidden/>
    <w:rsid w:val="0000144A"/>
    <w:rPr>
      <w:rFonts w:ascii="Times New Roman" w:eastAsia="Times New Roman" w:hAnsi="Times New Roman"/>
      <w:b/>
      <w:bCs/>
    </w:rPr>
  </w:style>
  <w:style w:type="paragraph" w:styleId="Title">
    <w:name w:val="Title"/>
    <w:basedOn w:val="Normal"/>
    <w:link w:val="TitleChar"/>
    <w:qFormat/>
    <w:rsid w:val="00621827"/>
    <w:pPr>
      <w:spacing w:after="0" w:line="240" w:lineRule="auto"/>
      <w:jc w:val="center"/>
    </w:pPr>
    <w:rPr>
      <w:rFonts w:ascii="Arial" w:eastAsia="Times New Roman" w:hAnsi="Arial"/>
      <w:b/>
      <w:sz w:val="28"/>
      <w:szCs w:val="20"/>
    </w:rPr>
  </w:style>
  <w:style w:type="character" w:customStyle="1" w:styleId="TitleChar">
    <w:name w:val="Title Char"/>
    <w:link w:val="Title"/>
    <w:rsid w:val="00621827"/>
    <w:rPr>
      <w:rFonts w:ascii="Arial" w:eastAsia="Times New Roman" w:hAnsi="Arial"/>
      <w:b/>
      <w:sz w:val="28"/>
    </w:rPr>
  </w:style>
  <w:style w:type="paragraph" w:styleId="Subtitle">
    <w:name w:val="Subtitle"/>
    <w:basedOn w:val="Normal"/>
    <w:link w:val="SubtitleChar"/>
    <w:qFormat/>
    <w:rsid w:val="00621827"/>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480" w:lineRule="auto"/>
      <w:ind w:right="864"/>
    </w:pPr>
    <w:rPr>
      <w:rFonts w:ascii="Times New Roman" w:eastAsia="Times New Roman" w:hAnsi="Times New Roman"/>
      <w:b/>
      <w:szCs w:val="24"/>
    </w:rPr>
  </w:style>
  <w:style w:type="character" w:customStyle="1" w:styleId="SubtitleChar">
    <w:name w:val="Subtitle Char"/>
    <w:link w:val="Subtitle"/>
    <w:rsid w:val="00621827"/>
    <w:rPr>
      <w:rFonts w:ascii="Times New Roman" w:eastAsia="Times New Roman" w:hAnsi="Times New Roman"/>
      <w:b/>
      <w:sz w:val="22"/>
      <w:szCs w:val="24"/>
    </w:rPr>
  </w:style>
  <w:style w:type="paragraph" w:customStyle="1" w:styleId="CROMSFrontMatterHeading1TOC">
    <w:name w:val="CROMS_FrontMatterHeading1(TOC)"/>
    <w:basedOn w:val="Title"/>
    <w:next w:val="Normal"/>
    <w:uiPriority w:val="14"/>
    <w:qFormat/>
    <w:rsid w:val="00746804"/>
    <w:pPr>
      <w:spacing w:after="240"/>
      <w:outlineLvl w:val="0"/>
    </w:pPr>
    <w:rPr>
      <w:bCs/>
      <w:kern w:val="28"/>
      <w:sz w:val="24"/>
      <w:szCs w:val="32"/>
    </w:rPr>
  </w:style>
  <w:style w:type="paragraph" w:customStyle="1" w:styleId="CROMSFrontMatterHeading2">
    <w:name w:val="CROMS_FrontMatterHeading2"/>
    <w:basedOn w:val="CROMSFrontMatterHeading1TOC"/>
    <w:uiPriority w:val="15"/>
    <w:qFormat/>
    <w:rsid w:val="00746804"/>
    <w:pPr>
      <w:outlineLvl w:val="9"/>
    </w:pPr>
  </w:style>
  <w:style w:type="paragraph" w:customStyle="1" w:styleId="CROMSFrontMatterText">
    <w:name w:val="CROMS_FrontMatterText"/>
    <w:basedOn w:val="Normal"/>
    <w:uiPriority w:val="15"/>
    <w:qFormat/>
    <w:rsid w:val="00746804"/>
    <w:pPr>
      <w:tabs>
        <w:tab w:val="left" w:pos="720"/>
      </w:tabs>
      <w:spacing w:before="240" w:after="120" w:line="240" w:lineRule="auto"/>
    </w:pPr>
    <w:rPr>
      <w:rFonts w:ascii="Times New Roman" w:hAnsi="Times New Roman"/>
      <w:bCs/>
      <w:sz w:val="24"/>
    </w:rPr>
  </w:style>
  <w:style w:type="paragraph" w:customStyle="1" w:styleId="CROMSText">
    <w:name w:val="CROMS_Text"/>
    <w:basedOn w:val="Normal"/>
    <w:uiPriority w:val="9"/>
    <w:qFormat/>
    <w:rsid w:val="00746804"/>
    <w:pPr>
      <w:spacing w:before="60" w:after="120" w:line="360" w:lineRule="auto"/>
    </w:pPr>
    <w:rPr>
      <w:rFonts w:ascii="Arial" w:hAnsi="Arial"/>
    </w:rPr>
  </w:style>
  <w:style w:type="paragraph" w:customStyle="1" w:styleId="CROMSInstruction">
    <w:name w:val="CROMS_Instruction"/>
    <w:basedOn w:val="CROMSText"/>
    <w:uiPriority w:val="17"/>
    <w:qFormat/>
    <w:rsid w:val="00746804"/>
    <w:rPr>
      <w:i/>
      <w:color w:val="1F497D"/>
    </w:rPr>
  </w:style>
  <w:style w:type="paragraph" w:customStyle="1" w:styleId="CROMSTextNumberedListManualNumbering123">
    <w:name w:val="CROMS_TextNumberedList_ManualNumbering_123"/>
    <w:basedOn w:val="Normal"/>
    <w:uiPriority w:val="17"/>
    <w:qFormat/>
    <w:rsid w:val="00746804"/>
    <w:pPr>
      <w:tabs>
        <w:tab w:val="left" w:pos="900"/>
      </w:tabs>
      <w:spacing w:before="60" w:after="120" w:line="360" w:lineRule="auto"/>
      <w:ind w:left="864" w:hanging="432"/>
    </w:pPr>
    <w:rPr>
      <w:rFonts w:ascii="Arial" w:hAnsi="Arial"/>
    </w:rPr>
  </w:style>
  <w:style w:type="paragraph" w:customStyle="1" w:styleId="CROMSInstructionNumbered">
    <w:name w:val="CROMS_Instruction_Numbered"/>
    <w:basedOn w:val="CROMSTextNumberedListManualNumbering123"/>
    <w:uiPriority w:val="17"/>
    <w:qFormat/>
    <w:rsid w:val="00746804"/>
    <w:rPr>
      <w:i/>
      <w:color w:val="1F497D"/>
    </w:rPr>
  </w:style>
  <w:style w:type="paragraph" w:customStyle="1" w:styleId="CROMSList">
    <w:name w:val="CROMS_List"/>
    <w:basedOn w:val="CROMSTextNumberedListManualNumbering123"/>
    <w:uiPriority w:val="17"/>
    <w:qFormat/>
    <w:rsid w:val="00746804"/>
    <w:pPr>
      <w:spacing w:before="0" w:after="0"/>
      <w:ind w:left="0" w:firstLine="0"/>
    </w:pPr>
    <w:rPr>
      <w:rFonts w:ascii="Times New (W1)" w:hAnsi="Times New (W1)"/>
    </w:rPr>
  </w:style>
  <w:style w:type="paragraph" w:customStyle="1" w:styleId="CROMSTableParameters">
    <w:name w:val="CROMS_Table_Parameters"/>
    <w:basedOn w:val="CROMSText"/>
    <w:uiPriority w:val="17"/>
    <w:qFormat/>
    <w:rsid w:val="003E40EE"/>
    <w:pPr>
      <w:spacing w:line="276" w:lineRule="auto"/>
    </w:pPr>
  </w:style>
  <w:style w:type="paragraph" w:customStyle="1" w:styleId="CROMSTextBold">
    <w:name w:val="CROMS_Text_Bold"/>
    <w:basedOn w:val="CROMSText"/>
    <w:uiPriority w:val="17"/>
    <w:qFormat/>
    <w:rsid w:val="00746804"/>
    <w:rPr>
      <w:b/>
    </w:rPr>
  </w:style>
  <w:style w:type="paragraph" w:customStyle="1" w:styleId="CROMSTextBulletedList2">
    <w:name w:val="CROMS_TextBulletedList2"/>
    <w:basedOn w:val="ListBullet2"/>
    <w:uiPriority w:val="17"/>
    <w:qFormat/>
    <w:rsid w:val="00746804"/>
    <w:pPr>
      <w:numPr>
        <w:numId w:val="8"/>
      </w:numPr>
      <w:tabs>
        <w:tab w:val="left" w:pos="432"/>
        <w:tab w:val="left" w:pos="1440"/>
      </w:tabs>
      <w:spacing w:before="120" w:after="120" w:line="360" w:lineRule="auto"/>
      <w:contextualSpacing w:val="0"/>
    </w:pPr>
    <w:rPr>
      <w:rFonts w:ascii="Arial" w:hAnsi="Arial"/>
    </w:rPr>
  </w:style>
  <w:style w:type="paragraph" w:styleId="ListBullet2">
    <w:name w:val="List Bullet 2"/>
    <w:basedOn w:val="Normal"/>
    <w:uiPriority w:val="99"/>
    <w:semiHidden/>
    <w:unhideWhenUsed/>
    <w:rsid w:val="00746804"/>
    <w:pPr>
      <w:numPr>
        <w:numId w:val="7"/>
      </w:numPr>
      <w:contextualSpacing/>
    </w:pPr>
  </w:style>
  <w:style w:type="paragraph" w:customStyle="1" w:styleId="CROMSTextNumberedListIndentManualNumberingabc">
    <w:name w:val="CROMS_TextNumberedListIndent_ManualNumbering_abc"/>
    <w:basedOn w:val="CROMSTextNumberedListManualNumbering123"/>
    <w:uiPriority w:val="17"/>
    <w:qFormat/>
    <w:rsid w:val="00746804"/>
    <w:pPr>
      <w:ind w:left="1296"/>
    </w:pPr>
  </w:style>
  <w:style w:type="paragraph" w:customStyle="1" w:styleId="CROMSTitleRows">
    <w:name w:val="CROMS_Title_Rows"/>
    <w:basedOn w:val="Normal"/>
    <w:uiPriority w:val="17"/>
    <w:qFormat/>
    <w:rsid w:val="00746804"/>
    <w:pPr>
      <w:spacing w:before="120" w:after="120" w:line="360" w:lineRule="auto"/>
      <w:jc w:val="right"/>
    </w:pPr>
    <w:rPr>
      <w:rFonts w:ascii="Arial" w:hAnsi="Arial" w:cs="Arial"/>
      <w:b/>
      <w:caps/>
      <w:szCs w:val="24"/>
    </w:rPr>
  </w:style>
  <w:style w:type="paragraph" w:customStyle="1" w:styleId="CROMSTitleRowsleft">
    <w:name w:val="CROMS_Title_Rows_left"/>
    <w:basedOn w:val="CROMSTitleRows"/>
    <w:uiPriority w:val="17"/>
    <w:qFormat/>
    <w:rsid w:val="00746804"/>
    <w:pPr>
      <w:framePr w:hSpace="180" w:wrap="around" w:vAnchor="page" w:hAnchor="margin" w:xAlign="right" w:y="4009"/>
      <w:jc w:val="left"/>
    </w:pPr>
    <w:rPr>
      <w:snapToGrid w:val="0"/>
    </w:rPr>
  </w:style>
  <w:style w:type="character" w:customStyle="1" w:styleId="Heading1Char">
    <w:name w:val="Heading 1 Char"/>
    <w:aliases w:val="CROMS_Heading 1 Char"/>
    <w:link w:val="Heading1"/>
    <w:rsid w:val="00CA5F34"/>
    <w:rPr>
      <w:rFonts w:ascii="Arial" w:eastAsia="Times New Roman" w:hAnsi="Arial"/>
      <w:b/>
      <w:bCs/>
      <w:caps/>
      <w:kern w:val="32"/>
      <w:sz w:val="24"/>
      <w:szCs w:val="32"/>
    </w:rPr>
  </w:style>
  <w:style w:type="character" w:customStyle="1" w:styleId="Heading2Char">
    <w:name w:val="Heading 2 Char"/>
    <w:aliases w:val="CROMS_Heading 2 Char"/>
    <w:link w:val="Heading2"/>
    <w:rsid w:val="007D5928"/>
    <w:rPr>
      <w:rFonts w:ascii="Arial" w:eastAsia="Times New Roman" w:hAnsi="Arial"/>
      <w:b/>
      <w:iCs/>
      <w:kern w:val="32"/>
      <w:sz w:val="24"/>
      <w:szCs w:val="28"/>
    </w:rPr>
  </w:style>
  <w:style w:type="character" w:customStyle="1" w:styleId="Heading3Char">
    <w:name w:val="Heading 3 Char"/>
    <w:aliases w:val="CROMS_Heading 3 Char"/>
    <w:link w:val="Heading3"/>
    <w:uiPriority w:val="2"/>
    <w:rsid w:val="007D5928"/>
    <w:rPr>
      <w:rFonts w:ascii="Arial" w:eastAsia="Times New Roman" w:hAnsi="Arial"/>
      <w:b/>
      <w:bCs/>
      <w:i/>
      <w:iCs/>
      <w:kern w:val="32"/>
      <w:sz w:val="24"/>
      <w:szCs w:val="26"/>
    </w:rPr>
  </w:style>
  <w:style w:type="character" w:customStyle="1" w:styleId="Heading4Char">
    <w:name w:val="Heading 4 Char"/>
    <w:aliases w:val="CROMS_Heading 4 Char"/>
    <w:link w:val="Heading4"/>
    <w:uiPriority w:val="3"/>
    <w:rsid w:val="00746804"/>
    <w:rPr>
      <w:rFonts w:ascii="Arial" w:eastAsia="Times New Roman" w:hAnsi="Arial"/>
      <w:iCs/>
      <w:kern w:val="32"/>
      <w:sz w:val="22"/>
      <w:szCs w:val="28"/>
      <w:u w:val="single"/>
    </w:rPr>
  </w:style>
  <w:style w:type="character" w:customStyle="1" w:styleId="Heading5Char">
    <w:name w:val="Heading 5 Char"/>
    <w:aliases w:val="CROMS_Heading 5 Char"/>
    <w:link w:val="Heading5"/>
    <w:uiPriority w:val="4"/>
    <w:rsid w:val="00746804"/>
    <w:rPr>
      <w:rFonts w:ascii="Arial" w:eastAsia="Times New Roman" w:hAnsi="Arial"/>
      <w:bCs/>
      <w:i/>
      <w:kern w:val="32"/>
      <w:sz w:val="22"/>
      <w:szCs w:val="26"/>
    </w:rPr>
  </w:style>
  <w:style w:type="character" w:customStyle="1" w:styleId="Heading6Char">
    <w:name w:val="Heading 6 Char"/>
    <w:aliases w:val="CROMS_Heading6 Char"/>
    <w:link w:val="Heading6"/>
    <w:rsid w:val="00746804"/>
    <w:rPr>
      <w:rFonts w:ascii="Arial" w:eastAsia="Times New Roman" w:hAnsi="Arial"/>
      <w:kern w:val="32"/>
      <w:sz w:val="22"/>
      <w:szCs w:val="26"/>
      <w:u w:val="single"/>
    </w:rPr>
  </w:style>
  <w:style w:type="character" w:customStyle="1" w:styleId="Heading7Char">
    <w:name w:val="Heading 7 Char"/>
    <w:aliases w:val="CROMS_Heading7 Char"/>
    <w:link w:val="Heading7"/>
    <w:uiPriority w:val="6"/>
    <w:rsid w:val="00746804"/>
    <w:rPr>
      <w:rFonts w:ascii="Arial" w:eastAsia="Times New Roman" w:hAnsi="Arial"/>
      <w:kern w:val="32"/>
      <w:sz w:val="22"/>
      <w:szCs w:val="24"/>
    </w:rPr>
  </w:style>
  <w:style w:type="character" w:customStyle="1" w:styleId="Heading8Char">
    <w:name w:val="Heading 8 Char"/>
    <w:aliases w:val="CROMS_Heading8 Char"/>
    <w:link w:val="Heading8"/>
    <w:uiPriority w:val="7"/>
    <w:rsid w:val="00746804"/>
    <w:rPr>
      <w:rFonts w:ascii="Arial" w:eastAsia="Times New Roman" w:hAnsi="Arial"/>
      <w:i/>
      <w:iCs/>
      <w:kern w:val="32"/>
      <w:szCs w:val="24"/>
    </w:rPr>
  </w:style>
  <w:style w:type="character" w:customStyle="1" w:styleId="Heading9Char">
    <w:name w:val="Heading 9 Char"/>
    <w:aliases w:val="CROMS_Heading9 Char"/>
    <w:link w:val="Heading9"/>
    <w:uiPriority w:val="8"/>
    <w:rsid w:val="00746804"/>
    <w:rPr>
      <w:rFonts w:ascii="Arial" w:eastAsia="Times New Roman" w:hAnsi="Arial"/>
      <w:iCs/>
      <w:kern w:val="32"/>
      <w:szCs w:val="24"/>
      <w:u w:val="single"/>
    </w:rPr>
  </w:style>
  <w:style w:type="paragraph" w:customStyle="1" w:styleId="HeaderBoxTitle">
    <w:name w:val="HeaderBoxTitle"/>
    <w:basedOn w:val="Header"/>
    <w:next w:val="HeaderBoxText"/>
    <w:rsid w:val="00937B91"/>
    <w:pPr>
      <w:tabs>
        <w:tab w:val="clear" w:pos="4680"/>
        <w:tab w:val="clear" w:pos="9360"/>
        <w:tab w:val="center" w:pos="4320"/>
        <w:tab w:val="right" w:pos="8640"/>
      </w:tabs>
      <w:spacing w:before="60" w:after="60" w:line="240" w:lineRule="auto"/>
    </w:pPr>
    <w:rPr>
      <w:rFonts w:ascii="Arial" w:eastAsia="Times New Roman" w:hAnsi="Arial"/>
      <w:sz w:val="16"/>
      <w:szCs w:val="24"/>
    </w:rPr>
  </w:style>
  <w:style w:type="paragraph" w:customStyle="1" w:styleId="HeaderBoxText">
    <w:name w:val="HeaderBoxText"/>
    <w:basedOn w:val="HeaderBoxTitle"/>
    <w:rsid w:val="00937B91"/>
    <w:rPr>
      <w:b/>
      <w:sz w:val="18"/>
    </w:rPr>
  </w:style>
  <w:style w:type="paragraph" w:styleId="TOCHeading">
    <w:name w:val="TOC Heading"/>
    <w:basedOn w:val="Heading1"/>
    <w:next w:val="Normal"/>
    <w:uiPriority w:val="39"/>
    <w:semiHidden/>
    <w:unhideWhenUsed/>
    <w:qFormat/>
    <w:rsid w:val="00BD5268"/>
    <w:pPr>
      <w:keepLines/>
      <w:numPr>
        <w:numId w:val="0"/>
      </w:numPr>
      <w:spacing w:before="480" w:after="0" w:line="276" w:lineRule="auto"/>
      <w:outlineLvl w:val="9"/>
    </w:pPr>
    <w:rPr>
      <w:rFonts w:ascii="Cambria" w:hAnsi="Cambria"/>
      <w:caps w:val="0"/>
      <w:color w:val="365F91"/>
      <w:kern w:val="0"/>
      <w:sz w:val="28"/>
      <w:szCs w:val="28"/>
    </w:rPr>
  </w:style>
  <w:style w:type="paragraph" w:styleId="TOC1">
    <w:name w:val="toc 1"/>
    <w:basedOn w:val="Normal"/>
    <w:next w:val="Normal"/>
    <w:autoRedefine/>
    <w:uiPriority w:val="39"/>
    <w:unhideWhenUsed/>
    <w:rsid w:val="00A2409C"/>
    <w:pPr>
      <w:tabs>
        <w:tab w:val="left" w:pos="440"/>
        <w:tab w:val="right" w:leader="dot" w:pos="9350"/>
      </w:tabs>
      <w:spacing w:after="100"/>
      <w:ind w:left="450" w:hanging="450"/>
    </w:pPr>
    <w:rPr>
      <w:rFonts w:ascii="Arial" w:hAnsi="Arial"/>
      <w:caps/>
      <w:noProof/>
      <w:szCs w:val="28"/>
    </w:rPr>
  </w:style>
  <w:style w:type="paragraph" w:styleId="TOC2">
    <w:name w:val="toc 2"/>
    <w:basedOn w:val="Normal"/>
    <w:next w:val="Normal"/>
    <w:autoRedefine/>
    <w:uiPriority w:val="39"/>
    <w:unhideWhenUsed/>
    <w:rsid w:val="003E40EE"/>
    <w:pPr>
      <w:tabs>
        <w:tab w:val="left" w:pos="990"/>
        <w:tab w:val="right" w:leader="dot" w:pos="9350"/>
      </w:tabs>
      <w:spacing w:after="100"/>
      <w:ind w:left="990" w:hanging="540"/>
    </w:pPr>
    <w:rPr>
      <w:rFonts w:ascii="Arial" w:eastAsiaTheme="minorEastAsia" w:hAnsi="Arial" w:cstheme="minorBidi"/>
      <w:noProof/>
    </w:rPr>
  </w:style>
  <w:style w:type="paragraph" w:styleId="TOC3">
    <w:name w:val="toc 3"/>
    <w:basedOn w:val="Normal"/>
    <w:next w:val="Normal"/>
    <w:autoRedefine/>
    <w:uiPriority w:val="39"/>
    <w:unhideWhenUsed/>
    <w:rsid w:val="003E40EE"/>
    <w:pPr>
      <w:tabs>
        <w:tab w:val="left" w:pos="1800"/>
        <w:tab w:val="right" w:leader="dot" w:pos="9350"/>
      </w:tabs>
      <w:spacing w:after="100"/>
      <w:ind w:left="1800" w:hanging="810"/>
    </w:pPr>
    <w:rPr>
      <w:rFonts w:ascii="Arial" w:eastAsiaTheme="minorEastAsia" w:hAnsi="Arial" w:cstheme="minorBidi"/>
      <w:noProof/>
    </w:rPr>
  </w:style>
  <w:style w:type="character" w:styleId="Hyperlink">
    <w:name w:val="Hyperlink"/>
    <w:basedOn w:val="DefaultParagraphFont"/>
    <w:uiPriority w:val="99"/>
    <w:unhideWhenUsed/>
    <w:rsid w:val="000F5B3B"/>
    <w:rPr>
      <w:color w:val="0000FF" w:themeColor="hyperlink"/>
      <w:u w:val="single"/>
    </w:rPr>
  </w:style>
  <w:style w:type="paragraph" w:styleId="Caption">
    <w:name w:val="caption"/>
    <w:basedOn w:val="Normal"/>
    <w:next w:val="Normal"/>
    <w:uiPriority w:val="35"/>
    <w:unhideWhenUsed/>
    <w:qFormat/>
    <w:rsid w:val="00A12D29"/>
    <w:pPr>
      <w:spacing w:line="240" w:lineRule="auto"/>
    </w:pPr>
    <w:rPr>
      <w:b/>
      <w:bCs/>
      <w:color w:val="4F81BD"/>
      <w:sz w:val="18"/>
      <w:szCs w:val="18"/>
    </w:rPr>
  </w:style>
  <w:style w:type="character" w:styleId="FollowedHyperlink">
    <w:name w:val="FollowedHyperlink"/>
    <w:uiPriority w:val="99"/>
    <w:semiHidden/>
    <w:unhideWhenUsed/>
    <w:rsid w:val="008C416B"/>
    <w:rPr>
      <w:color w:val="800080"/>
      <w:u w:val="single"/>
    </w:rPr>
  </w:style>
  <w:style w:type="table" w:styleId="TableGrid">
    <w:name w:val="Table Grid"/>
    <w:basedOn w:val="TableNormal"/>
    <w:uiPriority w:val="59"/>
    <w:rsid w:val="008842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523100"/>
    <w:pPr>
      <w:spacing w:before="100" w:beforeAutospacing="1" w:after="100" w:afterAutospacing="1" w:line="240" w:lineRule="auto"/>
    </w:pPr>
    <w:rPr>
      <w:rFonts w:ascii="Times New Roman" w:eastAsia="Times New Roman" w:hAnsi="Times New Roman"/>
      <w:sz w:val="24"/>
      <w:szCs w:val="24"/>
    </w:rPr>
  </w:style>
  <w:style w:type="character" w:customStyle="1" w:styleId="ext-mb-text2">
    <w:name w:val="ext-mb-text2"/>
    <w:basedOn w:val="DefaultParagraphFont"/>
    <w:rsid w:val="006E5D5E"/>
  </w:style>
  <w:style w:type="paragraph" w:styleId="Revision">
    <w:name w:val="Revision"/>
    <w:hidden/>
    <w:uiPriority w:val="99"/>
    <w:semiHidden/>
    <w:rsid w:val="00546772"/>
    <w:rPr>
      <w:sz w:val="22"/>
      <w:szCs w:val="22"/>
    </w:rPr>
  </w:style>
  <w:style w:type="paragraph" w:styleId="MessageHeader">
    <w:name w:val="Message Header"/>
    <w:basedOn w:val="Normal"/>
    <w:link w:val="MessageHeaderChar"/>
    <w:rsid w:val="00020045"/>
    <w:pPr>
      <w:keepLines/>
      <w:spacing w:after="120" w:line="240" w:lineRule="atLeast"/>
      <w:ind w:left="1080" w:hanging="1080"/>
    </w:pPr>
    <w:rPr>
      <w:rFonts w:ascii="Garamond" w:eastAsia="Times New Roman" w:hAnsi="Garamond"/>
      <w:caps/>
      <w:sz w:val="18"/>
      <w:szCs w:val="20"/>
    </w:rPr>
  </w:style>
  <w:style w:type="character" w:customStyle="1" w:styleId="MessageHeaderChar">
    <w:name w:val="Message Header Char"/>
    <w:basedOn w:val="DefaultParagraphFont"/>
    <w:link w:val="MessageHeader"/>
    <w:rsid w:val="00020045"/>
    <w:rPr>
      <w:rFonts w:ascii="Garamond" w:eastAsia="Times New Roman" w:hAnsi="Garamond"/>
      <w:caps/>
      <w:sz w:val="18"/>
    </w:rPr>
  </w:style>
  <w:style w:type="paragraph" w:customStyle="1" w:styleId="MessageHeaderFirst">
    <w:name w:val="Message Header First"/>
    <w:basedOn w:val="MessageHeader"/>
    <w:next w:val="MessageHeader"/>
    <w:rsid w:val="00020045"/>
    <w:pPr>
      <w:spacing w:before="360"/>
    </w:pPr>
  </w:style>
  <w:style w:type="paragraph" w:styleId="BodyText">
    <w:name w:val="Body Text"/>
    <w:basedOn w:val="Normal"/>
    <w:link w:val="BodyTextChar"/>
    <w:uiPriority w:val="99"/>
    <w:semiHidden/>
    <w:unhideWhenUsed/>
    <w:rsid w:val="00020045"/>
    <w:pPr>
      <w:spacing w:after="120"/>
    </w:pPr>
  </w:style>
  <w:style w:type="character" w:customStyle="1" w:styleId="BodyTextChar">
    <w:name w:val="Body Text Char"/>
    <w:basedOn w:val="DefaultParagraphFont"/>
    <w:link w:val="BodyText"/>
    <w:uiPriority w:val="99"/>
    <w:semiHidden/>
    <w:rsid w:val="00020045"/>
    <w:rPr>
      <w:sz w:val="22"/>
      <w:szCs w:val="22"/>
    </w:rPr>
  </w:style>
  <w:style w:type="paragraph" w:styleId="FootnoteText">
    <w:name w:val="footnote text"/>
    <w:basedOn w:val="Normal"/>
    <w:link w:val="FootnoteTextChar"/>
    <w:uiPriority w:val="99"/>
    <w:unhideWhenUsed/>
    <w:rsid w:val="000C1ABD"/>
    <w:pPr>
      <w:spacing w:after="0" w:line="240" w:lineRule="auto"/>
    </w:pPr>
    <w:rPr>
      <w:sz w:val="20"/>
      <w:szCs w:val="20"/>
    </w:rPr>
  </w:style>
  <w:style w:type="character" w:customStyle="1" w:styleId="FootnoteTextChar">
    <w:name w:val="Footnote Text Char"/>
    <w:basedOn w:val="DefaultParagraphFont"/>
    <w:link w:val="FootnoteText"/>
    <w:uiPriority w:val="99"/>
    <w:rsid w:val="000C1ABD"/>
  </w:style>
  <w:style w:type="character" w:styleId="FootnoteReference">
    <w:name w:val="footnote reference"/>
    <w:basedOn w:val="DefaultParagraphFont"/>
    <w:uiPriority w:val="99"/>
    <w:semiHidden/>
    <w:unhideWhenUsed/>
    <w:rsid w:val="000C1ABD"/>
    <w:rPr>
      <w:vertAlign w:val="superscript"/>
    </w:rPr>
  </w:style>
  <w:style w:type="paragraph" w:styleId="EndnoteText">
    <w:name w:val="endnote text"/>
    <w:basedOn w:val="Normal"/>
    <w:link w:val="EndnoteTextChar"/>
    <w:uiPriority w:val="99"/>
    <w:semiHidden/>
    <w:unhideWhenUsed/>
    <w:rsid w:val="000C1A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1ABD"/>
  </w:style>
  <w:style w:type="character" w:styleId="EndnoteReference">
    <w:name w:val="endnote reference"/>
    <w:basedOn w:val="DefaultParagraphFont"/>
    <w:uiPriority w:val="99"/>
    <w:semiHidden/>
    <w:unhideWhenUsed/>
    <w:rsid w:val="000C1A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9517">
      <w:bodyDiv w:val="1"/>
      <w:marLeft w:val="0"/>
      <w:marRight w:val="0"/>
      <w:marTop w:val="0"/>
      <w:marBottom w:val="0"/>
      <w:divBdr>
        <w:top w:val="none" w:sz="0" w:space="0" w:color="auto"/>
        <w:left w:val="none" w:sz="0" w:space="0" w:color="auto"/>
        <w:bottom w:val="none" w:sz="0" w:space="0" w:color="auto"/>
        <w:right w:val="none" w:sz="0" w:space="0" w:color="auto"/>
      </w:divBdr>
    </w:div>
    <w:div w:id="892809502">
      <w:bodyDiv w:val="1"/>
      <w:marLeft w:val="0"/>
      <w:marRight w:val="0"/>
      <w:marTop w:val="0"/>
      <w:marBottom w:val="0"/>
      <w:divBdr>
        <w:top w:val="none" w:sz="0" w:space="0" w:color="auto"/>
        <w:left w:val="none" w:sz="0" w:space="0" w:color="auto"/>
        <w:bottom w:val="none" w:sz="0" w:space="0" w:color="auto"/>
        <w:right w:val="none" w:sz="0" w:space="0" w:color="auto"/>
      </w:divBdr>
    </w:div>
    <w:div w:id="1447194648">
      <w:bodyDiv w:val="1"/>
      <w:marLeft w:val="0"/>
      <w:marRight w:val="0"/>
      <w:marTop w:val="0"/>
      <w:marBottom w:val="0"/>
      <w:divBdr>
        <w:top w:val="none" w:sz="0" w:space="0" w:color="auto"/>
        <w:left w:val="none" w:sz="0" w:space="0" w:color="auto"/>
        <w:bottom w:val="none" w:sz="0" w:space="0" w:color="auto"/>
        <w:right w:val="none" w:sz="0" w:space="0" w:color="auto"/>
      </w:divBdr>
      <w:divsChild>
        <w:div w:id="395788014">
          <w:marLeft w:val="0"/>
          <w:marRight w:val="0"/>
          <w:marTop w:val="0"/>
          <w:marBottom w:val="0"/>
          <w:divBdr>
            <w:top w:val="none" w:sz="0" w:space="0" w:color="auto"/>
            <w:left w:val="none" w:sz="0" w:space="0" w:color="auto"/>
            <w:bottom w:val="none" w:sz="0" w:space="0" w:color="auto"/>
            <w:right w:val="none" w:sz="0" w:space="0" w:color="auto"/>
          </w:divBdr>
          <w:divsChild>
            <w:div w:id="1119488845">
              <w:marLeft w:val="0"/>
              <w:marRight w:val="0"/>
              <w:marTop w:val="0"/>
              <w:marBottom w:val="0"/>
              <w:divBdr>
                <w:top w:val="none" w:sz="0" w:space="0" w:color="auto"/>
                <w:left w:val="none" w:sz="0" w:space="0" w:color="auto"/>
                <w:bottom w:val="none" w:sz="0" w:space="0" w:color="auto"/>
                <w:right w:val="none" w:sz="0" w:space="0" w:color="auto"/>
              </w:divBdr>
              <w:divsChild>
                <w:div w:id="1166286391">
                  <w:marLeft w:val="0"/>
                  <w:marRight w:val="0"/>
                  <w:marTop w:val="0"/>
                  <w:marBottom w:val="0"/>
                  <w:divBdr>
                    <w:top w:val="none" w:sz="0" w:space="0" w:color="auto"/>
                    <w:left w:val="none" w:sz="0" w:space="0" w:color="auto"/>
                    <w:bottom w:val="none" w:sz="0" w:space="0" w:color="auto"/>
                    <w:right w:val="none" w:sz="0" w:space="0" w:color="auto"/>
                  </w:divBdr>
                  <w:divsChild>
                    <w:div w:id="820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110504">
      <w:bodyDiv w:val="1"/>
      <w:marLeft w:val="0"/>
      <w:marRight w:val="0"/>
      <w:marTop w:val="0"/>
      <w:marBottom w:val="0"/>
      <w:divBdr>
        <w:top w:val="none" w:sz="0" w:space="0" w:color="auto"/>
        <w:left w:val="none" w:sz="0" w:space="0" w:color="auto"/>
        <w:bottom w:val="none" w:sz="0" w:space="0" w:color="auto"/>
        <w:right w:val="none" w:sz="0" w:space="0" w:color="auto"/>
      </w:divBdr>
      <w:divsChild>
        <w:div w:id="886066051">
          <w:marLeft w:val="0"/>
          <w:marRight w:val="0"/>
          <w:marTop w:val="0"/>
          <w:marBottom w:val="0"/>
          <w:divBdr>
            <w:top w:val="none" w:sz="0" w:space="0" w:color="auto"/>
            <w:left w:val="none" w:sz="0" w:space="0" w:color="auto"/>
            <w:bottom w:val="none" w:sz="0" w:space="0" w:color="auto"/>
            <w:right w:val="none" w:sz="0" w:space="0" w:color="auto"/>
          </w:divBdr>
          <w:divsChild>
            <w:div w:id="1811904098">
              <w:marLeft w:val="0"/>
              <w:marRight w:val="0"/>
              <w:marTop w:val="0"/>
              <w:marBottom w:val="0"/>
              <w:divBdr>
                <w:top w:val="none" w:sz="0" w:space="0" w:color="auto"/>
                <w:left w:val="none" w:sz="0" w:space="0" w:color="auto"/>
                <w:bottom w:val="none" w:sz="0" w:space="0" w:color="auto"/>
                <w:right w:val="none" w:sz="0" w:space="0" w:color="auto"/>
              </w:divBdr>
              <w:divsChild>
                <w:div w:id="9580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4939">
      <w:bodyDiv w:val="1"/>
      <w:marLeft w:val="0"/>
      <w:marRight w:val="0"/>
      <w:marTop w:val="0"/>
      <w:marBottom w:val="0"/>
      <w:divBdr>
        <w:top w:val="none" w:sz="0" w:space="0" w:color="auto"/>
        <w:left w:val="none" w:sz="0" w:space="0" w:color="auto"/>
        <w:bottom w:val="none" w:sz="0" w:space="0" w:color="auto"/>
        <w:right w:val="none" w:sz="0" w:space="0" w:color="auto"/>
      </w:divBdr>
    </w:div>
    <w:div w:id="206078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hhs.gov/ohrp/archive/irb/irb_chapter5.htm" TargetMode="External"/><Relationship Id="rId34"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2.jpg"/><Relationship Id="rId33" Type="http://schemas.openxmlformats.org/officeDocument/2006/relationships/hyperlink" Target="http://grants.nih.gov/grants/policy/h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hhs.gov/ohrp/humansubjects/guidance/45cfr46.html" TargetMode="External"/><Relationship Id="rId29" Type="http://schemas.openxmlformats.org/officeDocument/2006/relationships/hyperlink" Target="http://grants.nih.gov/grants/policy/c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32" Type="http://schemas.openxmlformats.org/officeDocument/2006/relationships/hyperlink" Target="http://www.nidcr.nih.gov/Research/ToolsforResearchers/Toolkit/NIDCRClinicalTermsofAward.htm"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grants.nih.gov/grants/glossary.htm" TargetMode="External"/><Relationship Id="rId28" Type="http://schemas.openxmlformats.org/officeDocument/2006/relationships/hyperlink" Target="http://www.hhs.gov/ohrp/policy/"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clinicaltrials.gov/"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grants.nih.gov/grants/policy/hs/" TargetMode="External"/><Relationship Id="rId27" Type="http://schemas.openxmlformats.org/officeDocument/2006/relationships/image" Target="media/image3.jpg"/><Relationship Id="rId30" Type="http://schemas.openxmlformats.org/officeDocument/2006/relationships/hyperlink" Target="http://www.fda.gov/drugs/developmentapprovalprocess/howdrugsaredevelopedandapproved/approvalapplications/investigationalnewdrugindapplication/default.htm" TargetMode="External"/><Relationship Id="rId35" Type="http://schemas.openxmlformats.org/officeDocument/2006/relationships/fontTable" Target="fontTable.xml"/><Relationship Id="rId8"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3300B7E52DEC34988A120D86BAEC373" ma:contentTypeVersion="2" ma:contentTypeDescription="Create a new document." ma:contentTypeScope="" ma:versionID="1eefdde7fd23d9efc996b222a53c3b05">
  <xsd:schema xmlns:xsd="http://www.w3.org/2001/XMLSchema" xmlns:xs="http://www.w3.org/2001/XMLSchema" xmlns:p="http://schemas.microsoft.com/office/2006/metadata/properties" xmlns:ns1="http://schemas.microsoft.com/sharepoint/v3" xmlns:ns2="852fece1-1881-41ae-961d-eb03a420f142" targetNamespace="http://schemas.microsoft.com/office/2006/metadata/properties" ma:root="true" ma:fieldsID="6f0c642b60894295f6ceb50427ff6d06" ns1:_="" ns2:_="">
    <xsd:import namespace="http://schemas.microsoft.com/sharepoint/v3"/>
    <xsd:import namespace="852fece1-1881-41ae-961d-eb03a420f14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2fece1-1881-41ae-961d-eb03a420f14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852fece1-1881-41ae-961d-eb03a420f142"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F3D3A0-6AF3-4CE7-9A3E-54AD0E95AD28}">
  <ds:schemaRefs>
    <ds:schemaRef ds:uri="http://schemas.openxmlformats.org/officeDocument/2006/bibliography"/>
  </ds:schemaRefs>
</ds:datastoreItem>
</file>

<file path=customXml/itemProps2.xml><?xml version="1.0" encoding="utf-8"?>
<ds:datastoreItem xmlns:ds="http://schemas.openxmlformats.org/officeDocument/2006/customXml" ds:itemID="{2A54BCEE-679E-4B1A-8C5F-0B60B5775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2fece1-1881-41ae-961d-eb03a420f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E70CD3-C74E-4D4F-87AC-BD4594746701}">
  <ds:schemaRefs>
    <ds:schemaRef ds:uri="http://schemas.microsoft.com/office/2006/metadata/properties"/>
    <ds:schemaRef ds:uri="http://schemas.microsoft.com/office/infopath/2007/PartnerControls"/>
    <ds:schemaRef ds:uri="852fece1-1881-41ae-961d-eb03a420f142"/>
    <ds:schemaRef ds:uri="http://schemas.microsoft.com/sharepoint/v3"/>
  </ds:schemaRefs>
</ds:datastoreItem>
</file>

<file path=customXml/itemProps4.xml><?xml version="1.0" encoding="utf-8"?>
<ds:datastoreItem xmlns:ds="http://schemas.openxmlformats.org/officeDocument/2006/customXml" ds:itemID="{6C906600-43FA-4780-A2EE-967611080B7D}">
  <ds:schemaRefs>
    <ds:schemaRef ds:uri="http://schemas.openxmlformats.org/officeDocument/2006/bibliography"/>
  </ds:schemaRefs>
</ds:datastoreItem>
</file>

<file path=customXml/itemProps5.xml><?xml version="1.0" encoding="utf-8"?>
<ds:datastoreItem xmlns:ds="http://schemas.openxmlformats.org/officeDocument/2006/customXml" ds:itemID="{767B530B-2656-4EF9-8C19-DD1DC1C0873F}">
  <ds:schemaRefs>
    <ds:schemaRef ds:uri="http://schemas.openxmlformats.org/officeDocument/2006/bibliography"/>
  </ds:schemaRefs>
</ds:datastoreItem>
</file>

<file path=customXml/itemProps6.xml><?xml version="1.0" encoding="utf-8"?>
<ds:datastoreItem xmlns:ds="http://schemas.openxmlformats.org/officeDocument/2006/customXml" ds:itemID="{79ABFC31-4DD3-4C66-A793-B4E850B72C94}">
  <ds:schemaRefs>
    <ds:schemaRef ds:uri="http://schemas.openxmlformats.org/officeDocument/2006/bibliography"/>
  </ds:schemaRefs>
</ds:datastoreItem>
</file>

<file path=customXml/itemProps7.xml><?xml version="1.0" encoding="utf-8"?>
<ds:datastoreItem xmlns:ds="http://schemas.openxmlformats.org/officeDocument/2006/customXml" ds:itemID="{D93D7A05-BFB9-4425-B458-1257B782D7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10586</Words>
  <Characters>60346</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Guideline: Study Start-up to SIV and Site Activation</vt:lpstr>
    </vt:vector>
  </TitlesOfParts>
  <Company>RHO, Inc.</Company>
  <LinksUpToDate>false</LinksUpToDate>
  <CharactersWithSpaces>70791</CharactersWithSpaces>
  <SharedDoc>false</SharedDoc>
  <HLinks>
    <vt:vector size="276" baseType="variant">
      <vt:variant>
        <vt:i4>3932219</vt:i4>
      </vt:variant>
      <vt:variant>
        <vt:i4>249</vt:i4>
      </vt:variant>
      <vt:variant>
        <vt:i4>0</vt:i4>
      </vt:variant>
      <vt:variant>
        <vt:i4>5</vt:i4>
      </vt:variant>
      <vt:variant>
        <vt:lpwstr>http://grants.nih.gov/grants/policy/hs/</vt:lpwstr>
      </vt:variant>
      <vt:variant>
        <vt:lpwstr/>
      </vt:variant>
      <vt:variant>
        <vt:i4>983123</vt:i4>
      </vt:variant>
      <vt:variant>
        <vt:i4>246</vt:i4>
      </vt:variant>
      <vt:variant>
        <vt:i4>0</vt:i4>
      </vt:variant>
      <vt:variant>
        <vt:i4>5</vt:i4>
      </vt:variant>
      <vt:variant>
        <vt:lpwstr>https://www.rhoworld.com/crms/interface/documents/Clinical Terms of Award 10-13-09 Final.doc</vt:lpwstr>
      </vt:variant>
      <vt:variant>
        <vt:lpwstr/>
      </vt:variant>
      <vt:variant>
        <vt:i4>4456474</vt:i4>
      </vt:variant>
      <vt:variant>
        <vt:i4>237</vt:i4>
      </vt:variant>
      <vt:variant>
        <vt:i4>0</vt:i4>
      </vt:variant>
      <vt:variant>
        <vt:i4>5</vt:i4>
      </vt:variant>
      <vt:variant>
        <vt:lpwstr>https://www.rhoworld.com/rhonet/servlet/displayModules/nidcr?type=37&amp;display=nidcr/study-documents/index.jsp</vt:lpwstr>
      </vt:variant>
      <vt:variant>
        <vt:lpwstr/>
      </vt:variant>
      <vt:variant>
        <vt:i4>3539061</vt:i4>
      </vt:variant>
      <vt:variant>
        <vt:i4>234</vt:i4>
      </vt:variant>
      <vt:variant>
        <vt:i4>0</vt:i4>
      </vt:variant>
      <vt:variant>
        <vt:i4>5</vt:i4>
      </vt:variant>
      <vt:variant>
        <vt:lpwstr>http://clinicaltrials.gov/</vt:lpwstr>
      </vt:variant>
      <vt:variant>
        <vt:lpwstr/>
      </vt:variant>
      <vt:variant>
        <vt:i4>5898320</vt:i4>
      </vt:variant>
      <vt:variant>
        <vt:i4>231</vt:i4>
      </vt:variant>
      <vt:variant>
        <vt:i4>0</vt:i4>
      </vt:variant>
      <vt:variant>
        <vt:i4>5</vt:i4>
      </vt:variant>
      <vt:variant>
        <vt:lpwstr>http://www.fda.gov/drugs/developmentapprovalprocess/howdrugsaredevelopedandapproved/approvalapplications/investigationalnewdrugindapplication/default.htm</vt:lpwstr>
      </vt:variant>
      <vt:variant>
        <vt:lpwstr/>
      </vt:variant>
      <vt:variant>
        <vt:i4>983123</vt:i4>
      </vt:variant>
      <vt:variant>
        <vt:i4>228</vt:i4>
      </vt:variant>
      <vt:variant>
        <vt:i4>0</vt:i4>
      </vt:variant>
      <vt:variant>
        <vt:i4>5</vt:i4>
      </vt:variant>
      <vt:variant>
        <vt:lpwstr>http://grants.nih.gov/grants/policy/coc/</vt:lpwstr>
      </vt:variant>
      <vt:variant>
        <vt:lpwstr/>
      </vt:variant>
      <vt:variant>
        <vt:i4>2621538</vt:i4>
      </vt:variant>
      <vt:variant>
        <vt:i4>225</vt:i4>
      </vt:variant>
      <vt:variant>
        <vt:i4>0</vt:i4>
      </vt:variant>
      <vt:variant>
        <vt:i4>5</vt:i4>
      </vt:variant>
      <vt:variant>
        <vt:lpwstr>http://www.nidcr.nih.gov/ClinicalTrials/ToolkitClinicalResearchers/PoliciesGuidance/DSMBGuidelines.htm</vt:lpwstr>
      </vt:variant>
      <vt:variant>
        <vt:lpwstr/>
      </vt:variant>
      <vt:variant>
        <vt:i4>6553641</vt:i4>
      </vt:variant>
      <vt:variant>
        <vt:i4>222</vt:i4>
      </vt:variant>
      <vt:variant>
        <vt:i4>0</vt:i4>
      </vt:variant>
      <vt:variant>
        <vt:i4>5</vt:i4>
      </vt:variant>
      <vt:variant>
        <vt:lpwstr>http://www.hhs.gov/ohrp/policy/</vt:lpwstr>
      </vt:variant>
      <vt:variant>
        <vt:lpwstr>informed</vt:lpwstr>
      </vt:variant>
      <vt:variant>
        <vt:i4>4718710</vt:i4>
      </vt:variant>
      <vt:variant>
        <vt:i4>219</vt:i4>
      </vt:variant>
      <vt:variant>
        <vt:i4>0</vt:i4>
      </vt:variant>
      <vt:variant>
        <vt:i4>5</vt:i4>
      </vt:variant>
      <vt:variant>
        <vt:lpwstr>https://www.rhoworld.com/rhonet/servlet/files/nidcr/upload/VersionControlGuidelines_030609.doc</vt:lpwstr>
      </vt:variant>
      <vt:variant>
        <vt:lpwstr/>
      </vt:variant>
      <vt:variant>
        <vt:i4>5111892</vt:i4>
      </vt:variant>
      <vt:variant>
        <vt:i4>216</vt:i4>
      </vt:variant>
      <vt:variant>
        <vt:i4>0</vt:i4>
      </vt:variant>
      <vt:variant>
        <vt:i4>5</vt:i4>
      </vt:variant>
      <vt:variant>
        <vt:lpwstr>https://www.rhoworld.com/crms/interface/documents/Risk Decision Tree.xlsx</vt:lpwstr>
      </vt:variant>
      <vt:variant>
        <vt:lpwstr/>
      </vt:variant>
      <vt:variant>
        <vt:i4>4980770</vt:i4>
      </vt:variant>
      <vt:variant>
        <vt:i4>207</vt:i4>
      </vt:variant>
      <vt:variant>
        <vt:i4>0</vt:i4>
      </vt:variant>
      <vt:variant>
        <vt:i4>5</vt:i4>
      </vt:variant>
      <vt:variant>
        <vt:lpwstr>http://grants.nih.gov/grants/glossary.htm</vt:lpwstr>
      </vt:variant>
      <vt:variant>
        <vt:lpwstr>A</vt:lpwstr>
      </vt:variant>
      <vt:variant>
        <vt:i4>3932219</vt:i4>
      </vt:variant>
      <vt:variant>
        <vt:i4>204</vt:i4>
      </vt:variant>
      <vt:variant>
        <vt:i4>0</vt:i4>
      </vt:variant>
      <vt:variant>
        <vt:i4>5</vt:i4>
      </vt:variant>
      <vt:variant>
        <vt:lpwstr>http://grants.nih.gov/grants/policy/hs/</vt:lpwstr>
      </vt:variant>
      <vt:variant>
        <vt:lpwstr/>
      </vt:variant>
      <vt:variant>
        <vt:i4>1179678</vt:i4>
      </vt:variant>
      <vt:variant>
        <vt:i4>201</vt:i4>
      </vt:variant>
      <vt:variant>
        <vt:i4>0</vt:i4>
      </vt:variant>
      <vt:variant>
        <vt:i4>5</vt:i4>
      </vt:variant>
      <vt:variant>
        <vt:lpwstr>http://www.hhs.gov/ohrp/humansubjects/guidance/45cfr46.html</vt:lpwstr>
      </vt:variant>
      <vt:variant>
        <vt:lpwstr>46.101</vt:lpwstr>
      </vt:variant>
      <vt:variant>
        <vt:i4>1769533</vt:i4>
      </vt:variant>
      <vt:variant>
        <vt:i4>194</vt:i4>
      </vt:variant>
      <vt:variant>
        <vt:i4>0</vt:i4>
      </vt:variant>
      <vt:variant>
        <vt:i4>5</vt:i4>
      </vt:variant>
      <vt:variant>
        <vt:lpwstr/>
      </vt:variant>
      <vt:variant>
        <vt:lpwstr>_Toc288143364</vt:lpwstr>
      </vt:variant>
      <vt:variant>
        <vt:i4>1769533</vt:i4>
      </vt:variant>
      <vt:variant>
        <vt:i4>188</vt:i4>
      </vt:variant>
      <vt:variant>
        <vt:i4>0</vt:i4>
      </vt:variant>
      <vt:variant>
        <vt:i4>5</vt:i4>
      </vt:variant>
      <vt:variant>
        <vt:lpwstr/>
      </vt:variant>
      <vt:variant>
        <vt:lpwstr>_Toc288143363</vt:lpwstr>
      </vt:variant>
      <vt:variant>
        <vt:i4>1769533</vt:i4>
      </vt:variant>
      <vt:variant>
        <vt:i4>182</vt:i4>
      </vt:variant>
      <vt:variant>
        <vt:i4>0</vt:i4>
      </vt:variant>
      <vt:variant>
        <vt:i4>5</vt:i4>
      </vt:variant>
      <vt:variant>
        <vt:lpwstr/>
      </vt:variant>
      <vt:variant>
        <vt:lpwstr>_Toc288143362</vt:lpwstr>
      </vt:variant>
      <vt:variant>
        <vt:i4>1769533</vt:i4>
      </vt:variant>
      <vt:variant>
        <vt:i4>176</vt:i4>
      </vt:variant>
      <vt:variant>
        <vt:i4>0</vt:i4>
      </vt:variant>
      <vt:variant>
        <vt:i4>5</vt:i4>
      </vt:variant>
      <vt:variant>
        <vt:lpwstr/>
      </vt:variant>
      <vt:variant>
        <vt:lpwstr>_Toc288143361</vt:lpwstr>
      </vt:variant>
      <vt:variant>
        <vt:i4>1769533</vt:i4>
      </vt:variant>
      <vt:variant>
        <vt:i4>170</vt:i4>
      </vt:variant>
      <vt:variant>
        <vt:i4>0</vt:i4>
      </vt:variant>
      <vt:variant>
        <vt:i4>5</vt:i4>
      </vt:variant>
      <vt:variant>
        <vt:lpwstr/>
      </vt:variant>
      <vt:variant>
        <vt:lpwstr>_Toc288143360</vt:lpwstr>
      </vt:variant>
      <vt:variant>
        <vt:i4>1572925</vt:i4>
      </vt:variant>
      <vt:variant>
        <vt:i4>164</vt:i4>
      </vt:variant>
      <vt:variant>
        <vt:i4>0</vt:i4>
      </vt:variant>
      <vt:variant>
        <vt:i4>5</vt:i4>
      </vt:variant>
      <vt:variant>
        <vt:lpwstr/>
      </vt:variant>
      <vt:variant>
        <vt:lpwstr>_Toc288143359</vt:lpwstr>
      </vt:variant>
      <vt:variant>
        <vt:i4>1572925</vt:i4>
      </vt:variant>
      <vt:variant>
        <vt:i4>158</vt:i4>
      </vt:variant>
      <vt:variant>
        <vt:i4>0</vt:i4>
      </vt:variant>
      <vt:variant>
        <vt:i4>5</vt:i4>
      </vt:variant>
      <vt:variant>
        <vt:lpwstr/>
      </vt:variant>
      <vt:variant>
        <vt:lpwstr>_Toc288143358</vt:lpwstr>
      </vt:variant>
      <vt:variant>
        <vt:i4>1572925</vt:i4>
      </vt:variant>
      <vt:variant>
        <vt:i4>152</vt:i4>
      </vt:variant>
      <vt:variant>
        <vt:i4>0</vt:i4>
      </vt:variant>
      <vt:variant>
        <vt:i4>5</vt:i4>
      </vt:variant>
      <vt:variant>
        <vt:lpwstr/>
      </vt:variant>
      <vt:variant>
        <vt:lpwstr>_Toc288143357</vt:lpwstr>
      </vt:variant>
      <vt:variant>
        <vt:i4>1572925</vt:i4>
      </vt:variant>
      <vt:variant>
        <vt:i4>146</vt:i4>
      </vt:variant>
      <vt:variant>
        <vt:i4>0</vt:i4>
      </vt:variant>
      <vt:variant>
        <vt:i4>5</vt:i4>
      </vt:variant>
      <vt:variant>
        <vt:lpwstr/>
      </vt:variant>
      <vt:variant>
        <vt:lpwstr>_Toc288143356</vt:lpwstr>
      </vt:variant>
      <vt:variant>
        <vt:i4>1572925</vt:i4>
      </vt:variant>
      <vt:variant>
        <vt:i4>140</vt:i4>
      </vt:variant>
      <vt:variant>
        <vt:i4>0</vt:i4>
      </vt:variant>
      <vt:variant>
        <vt:i4>5</vt:i4>
      </vt:variant>
      <vt:variant>
        <vt:lpwstr/>
      </vt:variant>
      <vt:variant>
        <vt:lpwstr>_Toc288143355</vt:lpwstr>
      </vt:variant>
      <vt:variant>
        <vt:i4>1572925</vt:i4>
      </vt:variant>
      <vt:variant>
        <vt:i4>134</vt:i4>
      </vt:variant>
      <vt:variant>
        <vt:i4>0</vt:i4>
      </vt:variant>
      <vt:variant>
        <vt:i4>5</vt:i4>
      </vt:variant>
      <vt:variant>
        <vt:lpwstr/>
      </vt:variant>
      <vt:variant>
        <vt:lpwstr>_Toc288143354</vt:lpwstr>
      </vt:variant>
      <vt:variant>
        <vt:i4>1572925</vt:i4>
      </vt:variant>
      <vt:variant>
        <vt:i4>128</vt:i4>
      </vt:variant>
      <vt:variant>
        <vt:i4>0</vt:i4>
      </vt:variant>
      <vt:variant>
        <vt:i4>5</vt:i4>
      </vt:variant>
      <vt:variant>
        <vt:lpwstr/>
      </vt:variant>
      <vt:variant>
        <vt:lpwstr>_Toc288143353</vt:lpwstr>
      </vt:variant>
      <vt:variant>
        <vt:i4>1572925</vt:i4>
      </vt:variant>
      <vt:variant>
        <vt:i4>122</vt:i4>
      </vt:variant>
      <vt:variant>
        <vt:i4>0</vt:i4>
      </vt:variant>
      <vt:variant>
        <vt:i4>5</vt:i4>
      </vt:variant>
      <vt:variant>
        <vt:lpwstr/>
      </vt:variant>
      <vt:variant>
        <vt:lpwstr>_Toc288143352</vt:lpwstr>
      </vt:variant>
      <vt:variant>
        <vt:i4>1572925</vt:i4>
      </vt:variant>
      <vt:variant>
        <vt:i4>116</vt:i4>
      </vt:variant>
      <vt:variant>
        <vt:i4>0</vt:i4>
      </vt:variant>
      <vt:variant>
        <vt:i4>5</vt:i4>
      </vt:variant>
      <vt:variant>
        <vt:lpwstr/>
      </vt:variant>
      <vt:variant>
        <vt:lpwstr>_Toc288143351</vt:lpwstr>
      </vt:variant>
      <vt:variant>
        <vt:i4>1572925</vt:i4>
      </vt:variant>
      <vt:variant>
        <vt:i4>110</vt:i4>
      </vt:variant>
      <vt:variant>
        <vt:i4>0</vt:i4>
      </vt:variant>
      <vt:variant>
        <vt:i4>5</vt:i4>
      </vt:variant>
      <vt:variant>
        <vt:lpwstr/>
      </vt:variant>
      <vt:variant>
        <vt:lpwstr>_Toc288143350</vt:lpwstr>
      </vt:variant>
      <vt:variant>
        <vt:i4>1638461</vt:i4>
      </vt:variant>
      <vt:variant>
        <vt:i4>104</vt:i4>
      </vt:variant>
      <vt:variant>
        <vt:i4>0</vt:i4>
      </vt:variant>
      <vt:variant>
        <vt:i4>5</vt:i4>
      </vt:variant>
      <vt:variant>
        <vt:lpwstr/>
      </vt:variant>
      <vt:variant>
        <vt:lpwstr>_Toc288143349</vt:lpwstr>
      </vt:variant>
      <vt:variant>
        <vt:i4>1638461</vt:i4>
      </vt:variant>
      <vt:variant>
        <vt:i4>98</vt:i4>
      </vt:variant>
      <vt:variant>
        <vt:i4>0</vt:i4>
      </vt:variant>
      <vt:variant>
        <vt:i4>5</vt:i4>
      </vt:variant>
      <vt:variant>
        <vt:lpwstr/>
      </vt:variant>
      <vt:variant>
        <vt:lpwstr>_Toc288143348</vt:lpwstr>
      </vt:variant>
      <vt:variant>
        <vt:i4>1638461</vt:i4>
      </vt:variant>
      <vt:variant>
        <vt:i4>92</vt:i4>
      </vt:variant>
      <vt:variant>
        <vt:i4>0</vt:i4>
      </vt:variant>
      <vt:variant>
        <vt:i4>5</vt:i4>
      </vt:variant>
      <vt:variant>
        <vt:lpwstr/>
      </vt:variant>
      <vt:variant>
        <vt:lpwstr>_Toc288143347</vt:lpwstr>
      </vt:variant>
      <vt:variant>
        <vt:i4>1638461</vt:i4>
      </vt:variant>
      <vt:variant>
        <vt:i4>86</vt:i4>
      </vt:variant>
      <vt:variant>
        <vt:i4>0</vt:i4>
      </vt:variant>
      <vt:variant>
        <vt:i4>5</vt:i4>
      </vt:variant>
      <vt:variant>
        <vt:lpwstr/>
      </vt:variant>
      <vt:variant>
        <vt:lpwstr>_Toc288143346</vt:lpwstr>
      </vt:variant>
      <vt:variant>
        <vt:i4>1638461</vt:i4>
      </vt:variant>
      <vt:variant>
        <vt:i4>80</vt:i4>
      </vt:variant>
      <vt:variant>
        <vt:i4>0</vt:i4>
      </vt:variant>
      <vt:variant>
        <vt:i4>5</vt:i4>
      </vt:variant>
      <vt:variant>
        <vt:lpwstr/>
      </vt:variant>
      <vt:variant>
        <vt:lpwstr>_Toc288143345</vt:lpwstr>
      </vt:variant>
      <vt:variant>
        <vt:i4>1638461</vt:i4>
      </vt:variant>
      <vt:variant>
        <vt:i4>74</vt:i4>
      </vt:variant>
      <vt:variant>
        <vt:i4>0</vt:i4>
      </vt:variant>
      <vt:variant>
        <vt:i4>5</vt:i4>
      </vt:variant>
      <vt:variant>
        <vt:lpwstr/>
      </vt:variant>
      <vt:variant>
        <vt:lpwstr>_Toc288143344</vt:lpwstr>
      </vt:variant>
      <vt:variant>
        <vt:i4>1638461</vt:i4>
      </vt:variant>
      <vt:variant>
        <vt:i4>68</vt:i4>
      </vt:variant>
      <vt:variant>
        <vt:i4>0</vt:i4>
      </vt:variant>
      <vt:variant>
        <vt:i4>5</vt:i4>
      </vt:variant>
      <vt:variant>
        <vt:lpwstr/>
      </vt:variant>
      <vt:variant>
        <vt:lpwstr>_Toc288143343</vt:lpwstr>
      </vt:variant>
      <vt:variant>
        <vt:i4>1638461</vt:i4>
      </vt:variant>
      <vt:variant>
        <vt:i4>62</vt:i4>
      </vt:variant>
      <vt:variant>
        <vt:i4>0</vt:i4>
      </vt:variant>
      <vt:variant>
        <vt:i4>5</vt:i4>
      </vt:variant>
      <vt:variant>
        <vt:lpwstr/>
      </vt:variant>
      <vt:variant>
        <vt:lpwstr>_Toc288143341</vt:lpwstr>
      </vt:variant>
      <vt:variant>
        <vt:i4>1638461</vt:i4>
      </vt:variant>
      <vt:variant>
        <vt:i4>56</vt:i4>
      </vt:variant>
      <vt:variant>
        <vt:i4>0</vt:i4>
      </vt:variant>
      <vt:variant>
        <vt:i4>5</vt:i4>
      </vt:variant>
      <vt:variant>
        <vt:lpwstr/>
      </vt:variant>
      <vt:variant>
        <vt:lpwstr>_Toc288143340</vt:lpwstr>
      </vt:variant>
      <vt:variant>
        <vt:i4>1966141</vt:i4>
      </vt:variant>
      <vt:variant>
        <vt:i4>50</vt:i4>
      </vt:variant>
      <vt:variant>
        <vt:i4>0</vt:i4>
      </vt:variant>
      <vt:variant>
        <vt:i4>5</vt:i4>
      </vt:variant>
      <vt:variant>
        <vt:lpwstr/>
      </vt:variant>
      <vt:variant>
        <vt:lpwstr>_Toc288143339</vt:lpwstr>
      </vt:variant>
      <vt:variant>
        <vt:i4>1966141</vt:i4>
      </vt:variant>
      <vt:variant>
        <vt:i4>44</vt:i4>
      </vt:variant>
      <vt:variant>
        <vt:i4>0</vt:i4>
      </vt:variant>
      <vt:variant>
        <vt:i4>5</vt:i4>
      </vt:variant>
      <vt:variant>
        <vt:lpwstr/>
      </vt:variant>
      <vt:variant>
        <vt:lpwstr>_Toc288143338</vt:lpwstr>
      </vt:variant>
      <vt:variant>
        <vt:i4>1966141</vt:i4>
      </vt:variant>
      <vt:variant>
        <vt:i4>38</vt:i4>
      </vt:variant>
      <vt:variant>
        <vt:i4>0</vt:i4>
      </vt:variant>
      <vt:variant>
        <vt:i4>5</vt:i4>
      </vt:variant>
      <vt:variant>
        <vt:lpwstr/>
      </vt:variant>
      <vt:variant>
        <vt:lpwstr>_Toc288143337</vt:lpwstr>
      </vt:variant>
      <vt:variant>
        <vt:i4>1966141</vt:i4>
      </vt:variant>
      <vt:variant>
        <vt:i4>32</vt:i4>
      </vt:variant>
      <vt:variant>
        <vt:i4>0</vt:i4>
      </vt:variant>
      <vt:variant>
        <vt:i4>5</vt:i4>
      </vt:variant>
      <vt:variant>
        <vt:lpwstr/>
      </vt:variant>
      <vt:variant>
        <vt:lpwstr>_Toc288143336</vt:lpwstr>
      </vt:variant>
      <vt:variant>
        <vt:i4>1966141</vt:i4>
      </vt:variant>
      <vt:variant>
        <vt:i4>26</vt:i4>
      </vt:variant>
      <vt:variant>
        <vt:i4>0</vt:i4>
      </vt:variant>
      <vt:variant>
        <vt:i4>5</vt:i4>
      </vt:variant>
      <vt:variant>
        <vt:lpwstr/>
      </vt:variant>
      <vt:variant>
        <vt:lpwstr>_Toc288143335</vt:lpwstr>
      </vt:variant>
      <vt:variant>
        <vt:i4>1966141</vt:i4>
      </vt:variant>
      <vt:variant>
        <vt:i4>20</vt:i4>
      </vt:variant>
      <vt:variant>
        <vt:i4>0</vt:i4>
      </vt:variant>
      <vt:variant>
        <vt:i4>5</vt:i4>
      </vt:variant>
      <vt:variant>
        <vt:lpwstr/>
      </vt:variant>
      <vt:variant>
        <vt:lpwstr>_Toc288143334</vt:lpwstr>
      </vt:variant>
      <vt:variant>
        <vt:i4>1966141</vt:i4>
      </vt:variant>
      <vt:variant>
        <vt:i4>14</vt:i4>
      </vt:variant>
      <vt:variant>
        <vt:i4>0</vt:i4>
      </vt:variant>
      <vt:variant>
        <vt:i4>5</vt:i4>
      </vt:variant>
      <vt:variant>
        <vt:lpwstr/>
      </vt:variant>
      <vt:variant>
        <vt:lpwstr>_Toc288143333</vt:lpwstr>
      </vt:variant>
      <vt:variant>
        <vt:i4>1966141</vt:i4>
      </vt:variant>
      <vt:variant>
        <vt:i4>8</vt:i4>
      </vt:variant>
      <vt:variant>
        <vt:i4>0</vt:i4>
      </vt:variant>
      <vt:variant>
        <vt:i4>5</vt:i4>
      </vt:variant>
      <vt:variant>
        <vt:lpwstr/>
      </vt:variant>
      <vt:variant>
        <vt:lpwstr>_Toc288143332</vt:lpwstr>
      </vt:variant>
      <vt:variant>
        <vt:i4>1966141</vt:i4>
      </vt:variant>
      <vt:variant>
        <vt:i4>2</vt:i4>
      </vt:variant>
      <vt:variant>
        <vt:i4>0</vt:i4>
      </vt:variant>
      <vt:variant>
        <vt:i4>5</vt:i4>
      </vt:variant>
      <vt:variant>
        <vt:lpwstr/>
      </vt:variant>
      <vt:variant>
        <vt:lpwstr>_Toc288143331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Study Start-up to SIV and Site Activation</dc:title>
  <dc:creator>Rho User</dc:creator>
  <cp:lastModifiedBy>Elisa Kaufman</cp:lastModifiedBy>
  <cp:revision>2</cp:revision>
  <cp:lastPrinted>2011-11-10T21:56:00Z</cp:lastPrinted>
  <dcterms:created xsi:type="dcterms:W3CDTF">2023-09-22T11:49:00Z</dcterms:created>
  <dcterms:modified xsi:type="dcterms:W3CDTF">2023-09-22T11:49:00Z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0x01010073300B7E52DEC34988A120D86BAEC373</vt:lpwstr>
  </property>
</Properties>
</file>